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DF" w:rsidRPr="005D69FD" w:rsidRDefault="00830DA6" w:rsidP="005D69FD">
      <w:pPr>
        <w:pBdr>
          <w:bottom w:val="single" w:sz="4" w:space="1" w:color="969696"/>
        </w:pBdr>
        <w:spacing w:before="120" w:line="240" w:lineRule="auto"/>
        <w:jc w:val="center"/>
        <w:rPr>
          <w:b/>
          <w:sz w:val="44"/>
        </w:rPr>
      </w:pPr>
      <w:bookmarkStart w:id="0" w:name="_GoBack"/>
      <w:bookmarkEnd w:id="0"/>
      <w:r w:rsidRPr="005D69FD">
        <w:rPr>
          <w:b/>
          <w:sz w:val="44"/>
        </w:rPr>
        <w:t>Estimation de la production de déchets de bâtiment</w:t>
      </w:r>
    </w:p>
    <w:p w:rsidR="00903DDF" w:rsidRDefault="00903DDF" w:rsidP="00903DDF"/>
    <w:p w:rsidR="00830DA6" w:rsidRDefault="00830DA6" w:rsidP="00903DDF">
      <w:r>
        <w:t>Ce document présente différentes données issues du suivi de différentes opérations en France ou en Angleterre ainsi que des formulaires de récolement obligatoires pour les opérations de démolition soumises aux obligations du décret du 31 mars 2011</w:t>
      </w:r>
      <w:r>
        <w:rPr>
          <w:rStyle w:val="Appelnotedebasdep"/>
        </w:rPr>
        <w:footnoteReference w:id="1"/>
      </w:r>
      <w:r>
        <w:t>.</w:t>
      </w:r>
    </w:p>
    <w:p w:rsidR="00830DA6" w:rsidRDefault="00830DA6" w:rsidP="00903DDF"/>
    <w:p w:rsidR="00830DA6" w:rsidRDefault="00830DA6" w:rsidP="00830DA6">
      <w:pPr>
        <w:pStyle w:val="Titre1"/>
        <w:numPr>
          <w:ilvl w:val="0"/>
          <w:numId w:val="6"/>
        </w:numPr>
      </w:pPr>
      <w:r w:rsidRPr="00830DA6">
        <w:t>Ratios de production de déchets de chantier de bâtiment</w:t>
      </w:r>
    </w:p>
    <w:p w:rsidR="0064060E" w:rsidRDefault="0064060E" w:rsidP="00903DDF">
      <w:r>
        <w:t>Ces ratios sont issus du suivi de différentes opérations au cours des 15 dernières années. Ces opérations ont couvet un large éventail de type de chantiers, de la construction neuve de logements à leur déconstruction, en passant par différents types de réhabilitation (en milieu occupé, non occupé ou semi occupé).</w:t>
      </w:r>
    </w:p>
    <w:p w:rsidR="0064060E" w:rsidRDefault="0064060E" w:rsidP="00903DDF"/>
    <w:p w:rsidR="00177219" w:rsidRDefault="0064060E" w:rsidP="00903DDF">
      <w:r>
        <w:t>Ces ratios doivent être pris comme des ordre</w:t>
      </w:r>
      <w:r w:rsidR="00177219">
        <w:t>s</w:t>
      </w:r>
      <w:r>
        <w:t xml:space="preserve"> de grandeur et non comme de valeurs absolues applicables à tout type de chantier. </w:t>
      </w:r>
      <w:r w:rsidR="007D58E2">
        <w:t xml:space="preserve">Avant d’être appliqué « en l’état » à une opération donnée, il conviendra de </w:t>
      </w:r>
      <w:r w:rsidR="00177219">
        <w:t>s’interroger sur le degré de similitude avec les types de travaux et de bâtiment desquels ont été établis ces ratios.</w:t>
      </w:r>
    </w:p>
    <w:p w:rsidR="00177219" w:rsidRDefault="00177219" w:rsidP="00903DDF">
      <w:r>
        <w:t>On note toutefois une réelle cohérence entre ces valeurs obtenues sur des périodes et avec des méthodes différentes, apportant un certain niveau de confiance dans leur usage.</w:t>
      </w:r>
    </w:p>
    <w:p w:rsidR="00177219" w:rsidRDefault="00177219" w:rsidP="00903DDF"/>
    <w:p w:rsidR="00903DDF" w:rsidRPr="00830DA6" w:rsidRDefault="00903DDF" w:rsidP="00830DA6">
      <w:pPr>
        <w:pStyle w:val="Titre"/>
        <w:numPr>
          <w:ilvl w:val="1"/>
          <w:numId w:val="6"/>
        </w:numPr>
        <w:rPr>
          <w:i/>
        </w:rPr>
      </w:pPr>
      <w:r w:rsidRPr="00830DA6">
        <w:rPr>
          <w:i/>
        </w:rPr>
        <w:t>Construction de logements i</w:t>
      </w:r>
      <w:r w:rsidR="00177219" w:rsidRPr="00830DA6">
        <w:rPr>
          <w:i/>
        </w:rPr>
        <w:t>ndividuels et petit collectif</w:t>
      </w:r>
      <w:r w:rsidR="005D69FD">
        <w:rPr>
          <w:rStyle w:val="Appelnotedebasdep"/>
          <w:i/>
        </w:rPr>
        <w:footnoteReference w:id="2"/>
      </w:r>
    </w:p>
    <w:p w:rsidR="00903DDF" w:rsidRDefault="00903DDF" w:rsidP="00903DDF"/>
    <w:tbl>
      <w:tblPr>
        <w:tblW w:w="8220" w:type="dxa"/>
        <w:tblInd w:w="65" w:type="dxa"/>
        <w:tblCellMar>
          <w:left w:w="70" w:type="dxa"/>
          <w:right w:w="70" w:type="dxa"/>
        </w:tblCellMar>
        <w:tblLook w:val="0000" w:firstRow="0" w:lastRow="0" w:firstColumn="0" w:lastColumn="0" w:noHBand="0" w:noVBand="0"/>
      </w:tblPr>
      <w:tblGrid>
        <w:gridCol w:w="1740"/>
        <w:gridCol w:w="1640"/>
        <w:gridCol w:w="1200"/>
        <w:gridCol w:w="3640"/>
      </w:tblGrid>
      <w:tr w:rsidR="00903DDF" w:rsidRPr="008A1B1C">
        <w:trPr>
          <w:trHeight w:val="255"/>
        </w:trPr>
        <w:tc>
          <w:tcPr>
            <w:tcW w:w="8220" w:type="dxa"/>
            <w:gridSpan w:val="4"/>
            <w:tcBorders>
              <w:top w:val="single" w:sz="4" w:space="0" w:color="auto"/>
              <w:left w:val="single" w:sz="4" w:space="0" w:color="auto"/>
              <w:bottom w:val="nil"/>
              <w:right w:val="single" w:sz="4" w:space="0" w:color="auto"/>
            </w:tcBorders>
            <w:shd w:val="clear" w:color="auto" w:fill="000080"/>
            <w:noWrap/>
            <w:vAlign w:val="center"/>
          </w:tcPr>
          <w:p w:rsidR="00903DDF" w:rsidRPr="00A85663" w:rsidRDefault="00903DDF" w:rsidP="00903DDF">
            <w:pPr>
              <w:spacing w:line="240" w:lineRule="auto"/>
              <w:jc w:val="center"/>
              <w:rPr>
                <w:rFonts w:cs="Arial"/>
                <w:b/>
                <w:bCs/>
                <w:caps/>
                <w:color w:val="FFFFFF"/>
                <w:sz w:val="20"/>
                <w:szCs w:val="20"/>
              </w:rPr>
            </w:pPr>
            <w:r>
              <w:rPr>
                <w:rFonts w:cs="Arial"/>
                <w:b/>
                <w:bCs/>
                <w:caps/>
                <w:color w:val="FFFFFF"/>
                <w:sz w:val="20"/>
                <w:szCs w:val="20"/>
              </w:rPr>
              <w:t>CONSTRUCTION NEUVE DE LOGEMENTS</w:t>
            </w:r>
          </w:p>
        </w:tc>
      </w:tr>
      <w:tr w:rsidR="00903DDF" w:rsidRPr="008A1B1C">
        <w:trPr>
          <w:trHeight w:val="255"/>
        </w:trPr>
        <w:tc>
          <w:tcPr>
            <w:tcW w:w="1740" w:type="dxa"/>
            <w:vMerge w:val="restart"/>
            <w:tcBorders>
              <w:top w:val="single" w:sz="4" w:space="0" w:color="auto"/>
              <w:left w:val="single" w:sz="4" w:space="0" w:color="auto"/>
              <w:right w:val="single" w:sz="4" w:space="0" w:color="auto"/>
            </w:tcBorders>
            <w:shd w:val="clear" w:color="auto" w:fill="000080"/>
            <w:noWrap/>
            <w:vAlign w:val="center"/>
          </w:tcPr>
          <w:p w:rsidR="00903DDF" w:rsidRPr="008A1B1C" w:rsidRDefault="00903DDF" w:rsidP="00903DDF">
            <w:pPr>
              <w:jc w:val="center"/>
              <w:rPr>
                <w:rFonts w:cs="Arial"/>
                <w:b/>
                <w:bCs/>
                <w:color w:val="FFFFFF"/>
                <w:sz w:val="20"/>
                <w:szCs w:val="20"/>
              </w:rPr>
            </w:pPr>
            <w:r w:rsidRPr="008A1B1C">
              <w:rPr>
                <w:rFonts w:cs="Arial"/>
                <w:b/>
                <w:bCs/>
                <w:color w:val="FFFFFF"/>
                <w:sz w:val="20"/>
                <w:szCs w:val="20"/>
              </w:rPr>
              <w:t>Déchet</w:t>
            </w:r>
          </w:p>
        </w:tc>
        <w:tc>
          <w:tcPr>
            <w:tcW w:w="1640" w:type="dxa"/>
            <w:vMerge w:val="restart"/>
            <w:tcBorders>
              <w:top w:val="single" w:sz="4" w:space="0" w:color="auto"/>
              <w:left w:val="nil"/>
              <w:right w:val="single" w:sz="4" w:space="0" w:color="auto"/>
            </w:tcBorders>
            <w:shd w:val="clear" w:color="auto" w:fill="000080"/>
            <w:noWrap/>
            <w:vAlign w:val="center"/>
          </w:tcPr>
          <w:p w:rsidR="00903DDF" w:rsidRPr="008A1B1C" w:rsidRDefault="00903DDF" w:rsidP="00903DDF">
            <w:pPr>
              <w:jc w:val="center"/>
              <w:rPr>
                <w:rFonts w:cs="Arial"/>
                <w:b/>
                <w:bCs/>
                <w:color w:val="FFFFFF"/>
                <w:sz w:val="20"/>
                <w:szCs w:val="20"/>
              </w:rPr>
            </w:pPr>
            <w:r w:rsidRPr="008A1B1C">
              <w:rPr>
                <w:rFonts w:cs="Arial"/>
                <w:b/>
                <w:bCs/>
                <w:color w:val="FFFFFF"/>
                <w:sz w:val="20"/>
                <w:szCs w:val="20"/>
              </w:rPr>
              <w:t>Logement</w:t>
            </w:r>
          </w:p>
        </w:tc>
        <w:tc>
          <w:tcPr>
            <w:tcW w:w="1200" w:type="dxa"/>
            <w:tcBorders>
              <w:top w:val="single" w:sz="4" w:space="0" w:color="auto"/>
              <w:left w:val="nil"/>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r w:rsidRPr="008A1B1C">
              <w:rPr>
                <w:rFonts w:cs="Arial"/>
                <w:b/>
                <w:bCs/>
                <w:color w:val="FFFFFF"/>
                <w:sz w:val="20"/>
                <w:szCs w:val="20"/>
              </w:rPr>
              <w:t>Ratio</w:t>
            </w:r>
          </w:p>
        </w:tc>
        <w:tc>
          <w:tcPr>
            <w:tcW w:w="3640" w:type="dxa"/>
            <w:tcBorders>
              <w:top w:val="single" w:sz="4" w:space="0" w:color="auto"/>
              <w:left w:val="nil"/>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r w:rsidRPr="008A1B1C">
              <w:rPr>
                <w:rFonts w:cs="Arial"/>
                <w:b/>
                <w:bCs/>
                <w:color w:val="FFFFFF"/>
                <w:sz w:val="20"/>
                <w:szCs w:val="20"/>
              </w:rPr>
              <w:t>Gamme</w:t>
            </w:r>
          </w:p>
        </w:tc>
      </w:tr>
      <w:tr w:rsidR="00903DDF" w:rsidRPr="008A1B1C">
        <w:trPr>
          <w:trHeight w:val="255"/>
        </w:trPr>
        <w:tc>
          <w:tcPr>
            <w:tcW w:w="1740" w:type="dxa"/>
            <w:vMerge/>
            <w:tcBorders>
              <w:left w:val="single" w:sz="4" w:space="0" w:color="auto"/>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p>
        </w:tc>
        <w:tc>
          <w:tcPr>
            <w:tcW w:w="1640" w:type="dxa"/>
            <w:vMerge/>
            <w:tcBorders>
              <w:left w:val="nil"/>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p>
        </w:tc>
        <w:tc>
          <w:tcPr>
            <w:tcW w:w="1200" w:type="dxa"/>
            <w:tcBorders>
              <w:top w:val="nil"/>
              <w:left w:val="nil"/>
              <w:bottom w:val="single" w:sz="4" w:space="0" w:color="auto"/>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proofErr w:type="gramStart"/>
            <w:r w:rsidRPr="008A1B1C">
              <w:rPr>
                <w:rFonts w:cs="Arial"/>
                <w:b/>
                <w:bCs/>
                <w:color w:val="FFFFFF"/>
                <w:sz w:val="20"/>
                <w:szCs w:val="20"/>
              </w:rPr>
              <w:t>kg</w:t>
            </w:r>
            <w:proofErr w:type="gramEnd"/>
            <w:r w:rsidRPr="008A1B1C">
              <w:rPr>
                <w:rFonts w:cs="Arial"/>
                <w:b/>
                <w:bCs/>
                <w:color w:val="FFFFFF"/>
                <w:sz w:val="20"/>
                <w:szCs w:val="20"/>
              </w:rPr>
              <w:t>/m² SHOB</w:t>
            </w:r>
          </w:p>
        </w:tc>
        <w:tc>
          <w:tcPr>
            <w:tcW w:w="3640" w:type="dxa"/>
            <w:tcBorders>
              <w:top w:val="nil"/>
              <w:left w:val="nil"/>
              <w:bottom w:val="single" w:sz="4" w:space="0" w:color="auto"/>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proofErr w:type="gramStart"/>
            <w:r w:rsidRPr="008A1B1C">
              <w:rPr>
                <w:rFonts w:cs="Arial"/>
                <w:b/>
                <w:bCs/>
                <w:color w:val="FFFFFF"/>
                <w:sz w:val="20"/>
                <w:szCs w:val="20"/>
              </w:rPr>
              <w:t>kg</w:t>
            </w:r>
            <w:proofErr w:type="gramEnd"/>
            <w:r w:rsidRPr="008A1B1C">
              <w:rPr>
                <w:rFonts w:cs="Arial"/>
                <w:b/>
                <w:bCs/>
                <w:color w:val="FFFFFF"/>
                <w:sz w:val="20"/>
                <w:szCs w:val="20"/>
              </w:rPr>
              <w:t>/m² SHOB</w:t>
            </w:r>
          </w:p>
        </w:tc>
      </w:tr>
      <w:tr w:rsidR="00903DDF" w:rsidRPr="008A1B1C">
        <w:trPr>
          <w:trHeight w:val="255"/>
        </w:trPr>
        <w:tc>
          <w:tcPr>
            <w:tcW w:w="1740" w:type="dxa"/>
            <w:tcBorders>
              <w:top w:val="single" w:sz="4" w:space="0" w:color="auto"/>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Inertes</w:t>
            </w:r>
          </w:p>
        </w:tc>
        <w:tc>
          <w:tcPr>
            <w:tcW w:w="1640" w:type="dxa"/>
            <w:tcBorders>
              <w:top w:val="single" w:sz="4" w:space="0" w:color="auto"/>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13,5</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roofErr w:type="gramStart"/>
            <w:r w:rsidRPr="008A1B1C">
              <w:rPr>
                <w:rFonts w:cs="Arial"/>
                <w:b/>
                <w:bCs/>
                <w:sz w:val="20"/>
                <w:szCs w:val="20"/>
              </w:rPr>
              <w:t>de</w:t>
            </w:r>
            <w:proofErr w:type="gramEnd"/>
            <w:r w:rsidRPr="008A1B1C">
              <w:rPr>
                <w:rFonts w:cs="Arial"/>
                <w:b/>
                <w:bCs/>
                <w:sz w:val="20"/>
                <w:szCs w:val="20"/>
              </w:rPr>
              <w:t xml:space="preserve"> 1 à 36</w:t>
            </w:r>
          </w:p>
        </w:tc>
      </w:tr>
      <w:tr w:rsidR="00903DDF" w:rsidRPr="008A1B1C">
        <w:trPr>
          <w:trHeight w:val="255"/>
        </w:trPr>
        <w:tc>
          <w:tcPr>
            <w:tcW w:w="1740" w:type="dxa"/>
            <w:vMerge w:val="restart"/>
            <w:tcBorders>
              <w:top w:val="nil"/>
              <w:left w:val="single" w:sz="4" w:space="0" w:color="auto"/>
              <w:right w:val="nil"/>
            </w:tcBorders>
            <w:shd w:val="clear" w:color="auto" w:fill="auto"/>
            <w:noWrap/>
            <w:vAlign w:val="center"/>
          </w:tcPr>
          <w:p w:rsidR="00903DDF" w:rsidRPr="008A1B1C" w:rsidRDefault="00903DDF" w:rsidP="00903DDF">
            <w:pPr>
              <w:jc w:val="left"/>
              <w:rPr>
                <w:rFonts w:cs="Arial"/>
                <w:b/>
                <w:bCs/>
                <w:sz w:val="20"/>
                <w:szCs w:val="20"/>
              </w:rPr>
            </w:pPr>
            <w:r w:rsidRPr="008A1B1C">
              <w:rPr>
                <w:rFonts w:cs="Arial"/>
                <w:b/>
                <w:bCs/>
                <w:sz w:val="20"/>
                <w:szCs w:val="20"/>
              </w:rPr>
              <w:t>Métaux</w:t>
            </w:r>
          </w:p>
        </w:tc>
        <w:tc>
          <w:tcPr>
            <w:tcW w:w="1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Collectifs</w:t>
            </w:r>
          </w:p>
        </w:tc>
        <w:tc>
          <w:tcPr>
            <w:tcW w:w="1200" w:type="dxa"/>
            <w:tcBorders>
              <w:top w:val="nil"/>
              <w:left w:val="single" w:sz="4" w:space="0" w:color="auto"/>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0,45</w:t>
            </w:r>
          </w:p>
        </w:tc>
        <w:tc>
          <w:tcPr>
            <w:tcW w:w="3640" w:type="dxa"/>
            <w:tcBorders>
              <w:top w:val="nil"/>
              <w:left w:val="nil"/>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roofErr w:type="gramStart"/>
            <w:r w:rsidRPr="008A1B1C">
              <w:rPr>
                <w:rFonts w:cs="Arial"/>
                <w:b/>
                <w:bCs/>
                <w:sz w:val="20"/>
                <w:szCs w:val="20"/>
              </w:rPr>
              <w:t>de</w:t>
            </w:r>
            <w:proofErr w:type="gramEnd"/>
            <w:r w:rsidRPr="008A1B1C">
              <w:rPr>
                <w:rFonts w:cs="Arial"/>
                <w:b/>
                <w:bCs/>
                <w:sz w:val="20"/>
                <w:szCs w:val="20"/>
              </w:rPr>
              <w:t xml:space="preserve"> 0,1 à 0,9</w:t>
            </w:r>
          </w:p>
        </w:tc>
      </w:tr>
      <w:tr w:rsidR="00903DDF" w:rsidRPr="008A1B1C">
        <w:trPr>
          <w:trHeight w:val="255"/>
        </w:trPr>
        <w:tc>
          <w:tcPr>
            <w:tcW w:w="1740" w:type="dxa"/>
            <w:vMerge/>
            <w:tcBorders>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Individuels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0</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
        </w:tc>
      </w:tr>
      <w:tr w:rsidR="00903DDF" w:rsidRPr="008A1B1C">
        <w:trPr>
          <w:trHeight w:val="255"/>
        </w:trPr>
        <w:tc>
          <w:tcPr>
            <w:tcW w:w="17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Bois</w:t>
            </w: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1,3</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roofErr w:type="gramStart"/>
            <w:r w:rsidRPr="008A1B1C">
              <w:rPr>
                <w:rFonts w:cs="Arial"/>
                <w:b/>
                <w:bCs/>
                <w:sz w:val="20"/>
                <w:szCs w:val="20"/>
              </w:rPr>
              <w:t>de</w:t>
            </w:r>
            <w:proofErr w:type="gramEnd"/>
            <w:r w:rsidRPr="008A1B1C">
              <w:rPr>
                <w:rFonts w:cs="Arial"/>
                <w:b/>
                <w:bCs/>
                <w:sz w:val="20"/>
                <w:szCs w:val="20"/>
              </w:rPr>
              <w:t xml:space="preserve"> 0,6 à 3,2</w:t>
            </w:r>
          </w:p>
        </w:tc>
      </w:tr>
      <w:tr w:rsidR="00903DDF" w:rsidRPr="008A1B1C">
        <w:trPr>
          <w:trHeight w:val="255"/>
        </w:trPr>
        <w:tc>
          <w:tcPr>
            <w:tcW w:w="1740" w:type="dxa"/>
            <w:vMerge w:val="restart"/>
            <w:tcBorders>
              <w:top w:val="nil"/>
              <w:left w:val="single" w:sz="4" w:space="0" w:color="auto"/>
              <w:right w:val="nil"/>
            </w:tcBorders>
            <w:shd w:val="clear" w:color="auto" w:fill="auto"/>
            <w:noWrap/>
            <w:vAlign w:val="center"/>
          </w:tcPr>
          <w:p w:rsidR="00903DDF" w:rsidRPr="008A1B1C" w:rsidRDefault="00903DDF" w:rsidP="00903DDF">
            <w:pPr>
              <w:jc w:val="left"/>
              <w:rPr>
                <w:rFonts w:cs="Arial"/>
                <w:b/>
                <w:bCs/>
                <w:sz w:val="20"/>
                <w:szCs w:val="20"/>
              </w:rPr>
            </w:pPr>
            <w:r>
              <w:rPr>
                <w:rFonts w:cs="Arial"/>
                <w:b/>
                <w:bCs/>
                <w:sz w:val="20"/>
                <w:szCs w:val="20"/>
              </w:rPr>
              <w:t xml:space="preserve">Déchets non </w:t>
            </w:r>
            <w:proofErr w:type="gramStart"/>
            <w:r>
              <w:rPr>
                <w:rFonts w:cs="Arial"/>
                <w:b/>
                <w:bCs/>
                <w:sz w:val="20"/>
                <w:szCs w:val="20"/>
              </w:rPr>
              <w:t xml:space="preserve">dangereux </w:t>
            </w:r>
            <w:r w:rsidRPr="008A1B1C">
              <w:rPr>
                <w:rFonts w:cs="Arial"/>
                <w:b/>
                <w:bCs/>
                <w:sz w:val="20"/>
                <w:szCs w:val="20"/>
              </w:rPr>
              <w:t xml:space="preserve"> en</w:t>
            </w:r>
            <w:proofErr w:type="gramEnd"/>
            <w:r w:rsidRPr="008A1B1C">
              <w:rPr>
                <w:rFonts w:cs="Arial"/>
                <w:b/>
                <w:bCs/>
                <w:sz w:val="20"/>
                <w:szCs w:val="20"/>
              </w:rPr>
              <w:t xml:space="preserve"> mélange </w:t>
            </w:r>
          </w:p>
        </w:tc>
        <w:tc>
          <w:tcPr>
            <w:tcW w:w="1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Collectifs</w:t>
            </w:r>
          </w:p>
        </w:tc>
        <w:tc>
          <w:tcPr>
            <w:tcW w:w="1200" w:type="dxa"/>
            <w:tcBorders>
              <w:top w:val="nil"/>
              <w:left w:val="single" w:sz="4" w:space="0" w:color="auto"/>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5,7</w:t>
            </w:r>
          </w:p>
        </w:tc>
        <w:tc>
          <w:tcPr>
            <w:tcW w:w="3640" w:type="dxa"/>
            <w:tcBorders>
              <w:top w:val="nil"/>
              <w:left w:val="nil"/>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roofErr w:type="gramStart"/>
            <w:r w:rsidRPr="008A1B1C">
              <w:rPr>
                <w:rFonts w:cs="Arial"/>
                <w:b/>
                <w:bCs/>
                <w:sz w:val="20"/>
                <w:szCs w:val="20"/>
              </w:rPr>
              <w:t>de</w:t>
            </w:r>
            <w:proofErr w:type="gramEnd"/>
            <w:r w:rsidRPr="008A1B1C">
              <w:rPr>
                <w:rFonts w:cs="Arial"/>
                <w:b/>
                <w:bCs/>
                <w:sz w:val="20"/>
                <w:szCs w:val="20"/>
              </w:rPr>
              <w:t xml:space="preserve"> 1,5 à 9,5</w:t>
            </w:r>
          </w:p>
        </w:tc>
      </w:tr>
      <w:tr w:rsidR="00903DDF" w:rsidRPr="008A1B1C">
        <w:trPr>
          <w:trHeight w:val="255"/>
        </w:trPr>
        <w:tc>
          <w:tcPr>
            <w:tcW w:w="1740" w:type="dxa"/>
            <w:vMerge/>
            <w:tcBorders>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Individuels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7,7</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roofErr w:type="gramStart"/>
            <w:r w:rsidRPr="008A1B1C">
              <w:rPr>
                <w:rFonts w:cs="Arial"/>
                <w:b/>
                <w:bCs/>
                <w:sz w:val="20"/>
                <w:szCs w:val="20"/>
              </w:rPr>
              <w:t>de</w:t>
            </w:r>
            <w:proofErr w:type="gramEnd"/>
            <w:r w:rsidRPr="008A1B1C">
              <w:rPr>
                <w:rFonts w:cs="Arial"/>
                <w:b/>
                <w:bCs/>
                <w:sz w:val="20"/>
                <w:szCs w:val="20"/>
              </w:rPr>
              <w:t xml:space="preserve"> 0,8 à 12,7</w:t>
            </w:r>
          </w:p>
        </w:tc>
      </w:tr>
      <w:tr w:rsidR="00903DDF" w:rsidRPr="008A1B1C">
        <w:trPr>
          <w:trHeight w:val="255"/>
        </w:trPr>
        <w:tc>
          <w:tcPr>
            <w:tcW w:w="17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Plâtre, cloisons</w:t>
            </w: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2,3</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roofErr w:type="gramStart"/>
            <w:r w:rsidRPr="008A1B1C">
              <w:rPr>
                <w:rFonts w:cs="Arial"/>
                <w:b/>
                <w:bCs/>
                <w:sz w:val="20"/>
                <w:szCs w:val="20"/>
              </w:rPr>
              <w:t>de</w:t>
            </w:r>
            <w:proofErr w:type="gramEnd"/>
            <w:r w:rsidRPr="008A1B1C">
              <w:rPr>
                <w:rFonts w:cs="Arial"/>
                <w:b/>
                <w:bCs/>
                <w:sz w:val="20"/>
                <w:szCs w:val="20"/>
              </w:rPr>
              <w:t xml:space="preserve"> 0,75 à 2,6, majoritairement autour de 2,3</w:t>
            </w:r>
          </w:p>
        </w:tc>
      </w:tr>
      <w:tr w:rsidR="00903DDF" w:rsidRPr="008A1B1C">
        <w:trPr>
          <w:trHeight w:val="255"/>
        </w:trPr>
        <w:tc>
          <w:tcPr>
            <w:tcW w:w="17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Cartons</w:t>
            </w: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0,25</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roofErr w:type="gramStart"/>
            <w:r w:rsidRPr="008A1B1C">
              <w:rPr>
                <w:rFonts w:cs="Arial"/>
                <w:b/>
                <w:bCs/>
                <w:sz w:val="20"/>
                <w:szCs w:val="20"/>
              </w:rPr>
              <w:t>de</w:t>
            </w:r>
            <w:proofErr w:type="gramEnd"/>
            <w:r w:rsidRPr="008A1B1C">
              <w:rPr>
                <w:rFonts w:cs="Arial"/>
                <w:b/>
                <w:bCs/>
                <w:sz w:val="20"/>
                <w:szCs w:val="20"/>
              </w:rPr>
              <w:t xml:space="preserve"> 0,03 à 0,35</w:t>
            </w:r>
          </w:p>
        </w:tc>
      </w:tr>
      <w:tr w:rsidR="00903DDF" w:rsidRPr="008A1B1C">
        <w:trPr>
          <w:trHeight w:val="255"/>
        </w:trPr>
        <w:tc>
          <w:tcPr>
            <w:tcW w:w="17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20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3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r>
      <w:tr w:rsidR="00903DDF" w:rsidRPr="008A1B1C">
        <w:trPr>
          <w:trHeight w:val="255"/>
        </w:trPr>
        <w:tc>
          <w:tcPr>
            <w:tcW w:w="17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640" w:type="dxa"/>
            <w:tcBorders>
              <w:top w:val="single" w:sz="4" w:space="0" w:color="auto"/>
              <w:left w:val="single" w:sz="4" w:space="0" w:color="auto"/>
              <w:bottom w:val="nil"/>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Total collectifs</w:t>
            </w:r>
          </w:p>
        </w:tc>
        <w:tc>
          <w:tcPr>
            <w:tcW w:w="1200" w:type="dxa"/>
            <w:tcBorders>
              <w:top w:val="single" w:sz="4" w:space="0" w:color="auto"/>
              <w:left w:val="nil"/>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23,5</w:t>
            </w:r>
          </w:p>
        </w:tc>
        <w:tc>
          <w:tcPr>
            <w:tcW w:w="3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r>
      <w:tr w:rsidR="00903DDF" w:rsidRPr="008A1B1C">
        <w:trPr>
          <w:trHeight w:val="255"/>
        </w:trPr>
        <w:tc>
          <w:tcPr>
            <w:tcW w:w="17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6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Total individuels</w:t>
            </w:r>
          </w:p>
        </w:tc>
        <w:tc>
          <w:tcPr>
            <w:tcW w:w="120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25,1</w:t>
            </w:r>
          </w:p>
        </w:tc>
        <w:tc>
          <w:tcPr>
            <w:tcW w:w="3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r>
    </w:tbl>
    <w:p w:rsidR="00236CF2" w:rsidRDefault="00805926" w:rsidP="00805926">
      <w:pPr>
        <w:pStyle w:val="Lgende"/>
      </w:pPr>
      <w:r>
        <w:t xml:space="preserve">Tableau </w:t>
      </w:r>
      <w:r w:rsidR="009472D5">
        <w:fldChar w:fldCharType="begin"/>
      </w:r>
      <w:r w:rsidR="009472D5">
        <w:instrText xml:space="preserve"> SEQ Tableau \* ARABIC </w:instrText>
      </w:r>
      <w:r w:rsidR="009472D5">
        <w:fldChar w:fldCharType="separate"/>
      </w:r>
      <w:r>
        <w:rPr>
          <w:noProof/>
        </w:rPr>
        <w:t>1</w:t>
      </w:r>
      <w:r w:rsidR="009472D5">
        <w:rPr>
          <w:noProof/>
        </w:rPr>
        <w:fldChar w:fldCharType="end"/>
      </w:r>
      <w:r>
        <w:t xml:space="preserve">. Ratio de production de déchets en construction de logements individuels et </w:t>
      </w:r>
      <w:proofErr w:type="spellStart"/>
      <w:r>
        <w:t>collectvifs</w:t>
      </w:r>
      <w:proofErr w:type="spellEnd"/>
    </w:p>
    <w:p w:rsidR="00830DA6" w:rsidRDefault="00236CF2" w:rsidP="00903DDF">
      <w:r>
        <w:t xml:space="preserve">Soit en volume, 7 à 8 big-bags </w:t>
      </w:r>
      <w:proofErr w:type="gramStart"/>
      <w:r>
        <w:t>d’ 1</w:t>
      </w:r>
      <w:proofErr w:type="gramEnd"/>
      <w:r>
        <w:t>m</w:t>
      </w:r>
      <w:r w:rsidRPr="00FC49FA">
        <w:t>3</w:t>
      </w:r>
      <w:r>
        <w:t xml:space="preserve"> pour les déchets non dangereux et 2 de déchets inertes.</w:t>
      </w:r>
    </w:p>
    <w:p w:rsidR="00903DDF" w:rsidRPr="00830DA6" w:rsidRDefault="00177219" w:rsidP="00830DA6">
      <w:pPr>
        <w:pStyle w:val="Titre"/>
        <w:numPr>
          <w:ilvl w:val="1"/>
          <w:numId w:val="6"/>
        </w:numPr>
        <w:rPr>
          <w:i/>
        </w:rPr>
      </w:pPr>
      <w:r w:rsidRPr="00830DA6">
        <w:rPr>
          <w:i/>
        </w:rPr>
        <w:lastRenderedPageBreak/>
        <w:t>Déconstruction de bâtiments</w:t>
      </w:r>
    </w:p>
    <w:p w:rsidR="00FC1EE1" w:rsidRPr="00567EC8" w:rsidRDefault="00FC1EE1" w:rsidP="00FC1EE1">
      <w:pPr>
        <w:rPr>
          <w:rFonts w:cs="Arial"/>
          <w:sz w:val="20"/>
          <w:szCs w:val="20"/>
        </w:rPr>
      </w:pPr>
    </w:p>
    <w:tbl>
      <w:tblPr>
        <w:tblW w:w="4521" w:type="pct"/>
        <w:tblBorders>
          <w:top w:val="single" w:sz="18" w:space="0" w:color="auto"/>
          <w:bottom w:val="single" w:sz="18" w:space="0" w:color="auto"/>
        </w:tblBorders>
        <w:tblLook w:val="0060" w:firstRow="1" w:lastRow="1" w:firstColumn="0" w:lastColumn="0" w:noHBand="0" w:noVBand="0"/>
      </w:tblPr>
      <w:tblGrid>
        <w:gridCol w:w="2093"/>
        <w:gridCol w:w="2017"/>
        <w:gridCol w:w="1972"/>
        <w:gridCol w:w="2316"/>
      </w:tblGrid>
      <w:tr w:rsidR="00FC1EE1" w:rsidRPr="00567EC8" w:rsidTr="00236CF2">
        <w:tc>
          <w:tcPr>
            <w:tcW w:w="1246" w:type="pct"/>
            <w:tcBorders>
              <w:top w:val="single" w:sz="18" w:space="0" w:color="auto"/>
              <w:left w:val="nil"/>
              <w:bottom w:val="single" w:sz="18" w:space="0" w:color="auto"/>
              <w:right w:val="nil"/>
            </w:tcBorders>
            <w:shd w:val="clear" w:color="auto" w:fill="4BACC6"/>
            <w:noWrap/>
          </w:tcPr>
          <w:p w:rsidR="00FC1EE1" w:rsidRPr="00DD0FD6" w:rsidRDefault="00FC1EE1" w:rsidP="005A6CD9">
            <w:pPr>
              <w:jc w:val="center"/>
              <w:rPr>
                <w:rFonts w:cs="Arial"/>
                <w:b/>
                <w:bCs/>
                <w:color w:val="FFFFFF"/>
                <w:sz w:val="20"/>
                <w:szCs w:val="20"/>
              </w:rPr>
            </w:pPr>
          </w:p>
        </w:tc>
        <w:tc>
          <w:tcPr>
            <w:tcW w:w="1201" w:type="pct"/>
            <w:tcBorders>
              <w:top w:val="single" w:sz="18" w:space="0" w:color="auto"/>
              <w:left w:val="nil"/>
              <w:bottom w:val="single" w:sz="18" w:space="0" w:color="auto"/>
              <w:right w:val="nil"/>
            </w:tcBorders>
            <w:shd w:val="clear" w:color="auto" w:fill="4BACC6"/>
          </w:tcPr>
          <w:p w:rsidR="00FC1EE1" w:rsidRPr="00DD0FD6" w:rsidRDefault="00FC1EE1" w:rsidP="005A6CD9">
            <w:pPr>
              <w:jc w:val="center"/>
              <w:rPr>
                <w:rFonts w:cs="Arial"/>
                <w:b/>
                <w:bCs/>
                <w:color w:val="FFFFFF"/>
                <w:sz w:val="20"/>
                <w:szCs w:val="20"/>
              </w:rPr>
            </w:pPr>
            <w:r w:rsidRPr="00DD0FD6">
              <w:rPr>
                <w:rFonts w:cs="Arial"/>
                <w:b/>
                <w:bCs/>
                <w:color w:val="FFFFFF"/>
                <w:sz w:val="20"/>
                <w:szCs w:val="20"/>
              </w:rPr>
              <w:t>Total (t)</w:t>
            </w:r>
          </w:p>
        </w:tc>
        <w:tc>
          <w:tcPr>
            <w:tcW w:w="1174" w:type="pct"/>
            <w:tcBorders>
              <w:top w:val="single" w:sz="18" w:space="0" w:color="auto"/>
              <w:left w:val="nil"/>
              <w:bottom w:val="single" w:sz="18" w:space="0" w:color="auto"/>
              <w:right w:val="nil"/>
            </w:tcBorders>
            <w:shd w:val="clear" w:color="auto" w:fill="4BACC6"/>
          </w:tcPr>
          <w:p w:rsidR="00FC1EE1" w:rsidRPr="00DD0FD6" w:rsidRDefault="00FC1EE1" w:rsidP="00236CF2">
            <w:pPr>
              <w:jc w:val="center"/>
              <w:rPr>
                <w:rFonts w:cs="Arial"/>
                <w:b/>
                <w:bCs/>
                <w:color w:val="FFFFFF"/>
                <w:sz w:val="20"/>
                <w:szCs w:val="20"/>
              </w:rPr>
            </w:pPr>
            <w:r w:rsidRPr="00DD0FD6">
              <w:rPr>
                <w:rFonts w:cs="Arial"/>
                <w:b/>
                <w:bCs/>
                <w:color w:val="FFFFFF"/>
                <w:sz w:val="20"/>
                <w:szCs w:val="20"/>
              </w:rPr>
              <w:t>Par opé</w:t>
            </w:r>
            <w:r w:rsidR="00236CF2">
              <w:rPr>
                <w:rFonts w:cs="Arial"/>
                <w:b/>
                <w:bCs/>
                <w:color w:val="FFFFFF"/>
                <w:sz w:val="20"/>
                <w:szCs w:val="20"/>
              </w:rPr>
              <w:t>ration</w:t>
            </w:r>
            <w:r w:rsidRPr="00DD0FD6">
              <w:rPr>
                <w:rFonts w:cs="Arial"/>
                <w:b/>
                <w:bCs/>
                <w:color w:val="FFFFFF"/>
                <w:sz w:val="20"/>
                <w:szCs w:val="20"/>
              </w:rPr>
              <w:t xml:space="preserve"> (t)</w:t>
            </w:r>
          </w:p>
        </w:tc>
        <w:tc>
          <w:tcPr>
            <w:tcW w:w="1379" w:type="pct"/>
            <w:tcBorders>
              <w:top w:val="single" w:sz="18" w:space="0" w:color="auto"/>
              <w:left w:val="nil"/>
              <w:bottom w:val="single" w:sz="18" w:space="0" w:color="auto"/>
              <w:right w:val="nil"/>
            </w:tcBorders>
            <w:shd w:val="clear" w:color="auto" w:fill="4BACC6"/>
          </w:tcPr>
          <w:p w:rsidR="00FC1EE1" w:rsidRPr="00DD0FD6" w:rsidRDefault="00FC1EE1" w:rsidP="005A6CD9">
            <w:pPr>
              <w:jc w:val="center"/>
              <w:rPr>
                <w:rFonts w:cs="Arial"/>
                <w:b/>
                <w:bCs/>
                <w:color w:val="FFFFFF"/>
                <w:sz w:val="20"/>
                <w:szCs w:val="20"/>
              </w:rPr>
            </w:pPr>
            <w:r w:rsidRPr="00DD0FD6">
              <w:rPr>
                <w:rFonts w:cs="Arial"/>
                <w:b/>
                <w:bCs/>
                <w:color w:val="FFFFFF"/>
                <w:sz w:val="20"/>
                <w:szCs w:val="20"/>
              </w:rPr>
              <w:t xml:space="preserve">Ratio </w:t>
            </w:r>
            <w:r w:rsidR="00236CF2">
              <w:rPr>
                <w:rFonts w:cs="Arial"/>
                <w:b/>
                <w:bCs/>
                <w:color w:val="FFFFFF"/>
                <w:sz w:val="20"/>
                <w:szCs w:val="20"/>
              </w:rPr>
              <w:t xml:space="preserve">moyen </w:t>
            </w:r>
            <w:r w:rsidRPr="00DD0FD6">
              <w:rPr>
                <w:rFonts w:cs="Arial"/>
                <w:b/>
                <w:bCs/>
                <w:color w:val="FFFFFF"/>
                <w:sz w:val="20"/>
                <w:szCs w:val="20"/>
              </w:rPr>
              <w:t>(t/m</w:t>
            </w:r>
            <w:r w:rsidRPr="007A28B8">
              <w:rPr>
                <w:rFonts w:cs="Arial"/>
                <w:b/>
                <w:bCs/>
                <w:color w:val="FFFFFF"/>
                <w:sz w:val="20"/>
                <w:szCs w:val="20"/>
              </w:rPr>
              <w:t>²</w:t>
            </w:r>
            <w:r w:rsidRPr="008F569D">
              <w:rPr>
                <w:rFonts w:cs="Arial"/>
                <w:color w:val="FFFFFF"/>
                <w:sz w:val="20"/>
                <w:szCs w:val="20"/>
              </w:rPr>
              <w:t xml:space="preserve"> </w:t>
            </w:r>
            <w:proofErr w:type="gramStart"/>
            <w:r w:rsidRPr="008F569D">
              <w:rPr>
                <w:rFonts w:cs="Arial"/>
                <w:color w:val="FFFFFF"/>
                <w:sz w:val="20"/>
                <w:szCs w:val="20"/>
              </w:rPr>
              <w:t>SHOB</w:t>
            </w:r>
            <w:r w:rsidRPr="00DD0FD6">
              <w:rPr>
                <w:rFonts w:cs="Arial"/>
                <w:b/>
                <w:bCs/>
                <w:color w:val="FFFFFF"/>
                <w:sz w:val="20"/>
                <w:szCs w:val="20"/>
              </w:rPr>
              <w:t>)</w:t>
            </w:r>
            <w:r w:rsidR="00236CF2">
              <w:rPr>
                <w:rFonts w:cs="Arial"/>
                <w:b/>
                <w:bCs/>
                <w:color w:val="FFFFFF"/>
                <w:sz w:val="20"/>
                <w:szCs w:val="20"/>
              </w:rPr>
              <w:t>*</w:t>
            </w:r>
            <w:proofErr w:type="gramEnd"/>
          </w:p>
        </w:tc>
      </w:tr>
      <w:tr w:rsidR="002E36BF" w:rsidRPr="00567EC8" w:rsidTr="00236CF2">
        <w:tc>
          <w:tcPr>
            <w:tcW w:w="1246" w:type="pct"/>
            <w:noWrap/>
          </w:tcPr>
          <w:p w:rsidR="002E36BF" w:rsidRPr="00DD0FD6" w:rsidRDefault="002E36BF" w:rsidP="005A6CD9">
            <w:pPr>
              <w:rPr>
                <w:rFonts w:cs="Arial"/>
                <w:sz w:val="20"/>
                <w:szCs w:val="20"/>
              </w:rPr>
            </w:pPr>
            <w:r w:rsidRPr="00DD0FD6">
              <w:rPr>
                <w:rFonts w:cs="Arial"/>
                <w:sz w:val="20"/>
                <w:szCs w:val="20"/>
              </w:rPr>
              <w:t>Déchets inertes</w:t>
            </w:r>
          </w:p>
        </w:tc>
        <w:tc>
          <w:tcPr>
            <w:tcW w:w="1201" w:type="pct"/>
          </w:tcPr>
          <w:p w:rsidR="002E36BF" w:rsidRPr="00242846" w:rsidRDefault="002E36BF" w:rsidP="002E36BF">
            <w:pPr>
              <w:jc w:val="center"/>
            </w:pPr>
            <w:r w:rsidRPr="00242846">
              <w:t>91,9%</w:t>
            </w:r>
          </w:p>
        </w:tc>
        <w:tc>
          <w:tcPr>
            <w:tcW w:w="1174" w:type="pct"/>
          </w:tcPr>
          <w:p w:rsidR="002E36BF" w:rsidRPr="00242846" w:rsidRDefault="002E36BF" w:rsidP="002E36BF">
            <w:pPr>
              <w:jc w:val="center"/>
            </w:pPr>
            <w:r w:rsidRPr="00242846">
              <w:t>5212</w:t>
            </w:r>
          </w:p>
        </w:tc>
        <w:tc>
          <w:tcPr>
            <w:tcW w:w="1379" w:type="pct"/>
          </w:tcPr>
          <w:p w:rsidR="002E36BF" w:rsidRPr="00242846" w:rsidRDefault="002E36BF" w:rsidP="002E36BF">
            <w:pPr>
              <w:jc w:val="center"/>
            </w:pPr>
            <w:r w:rsidRPr="00242846">
              <w:t>1,00</w:t>
            </w:r>
            <w:r w:rsidR="00236CF2">
              <w:t>**</w:t>
            </w:r>
          </w:p>
        </w:tc>
      </w:tr>
      <w:tr w:rsidR="002E36BF" w:rsidRPr="00567EC8" w:rsidTr="00236CF2">
        <w:tc>
          <w:tcPr>
            <w:tcW w:w="1246" w:type="pct"/>
            <w:noWrap/>
          </w:tcPr>
          <w:p w:rsidR="002E36BF" w:rsidRPr="00DD0FD6" w:rsidRDefault="002E36BF" w:rsidP="005A6CD9">
            <w:pPr>
              <w:rPr>
                <w:rFonts w:cs="Arial"/>
                <w:sz w:val="20"/>
                <w:szCs w:val="20"/>
              </w:rPr>
            </w:pPr>
            <w:r w:rsidRPr="00DD0FD6">
              <w:rPr>
                <w:rFonts w:cs="Arial"/>
                <w:sz w:val="20"/>
                <w:szCs w:val="20"/>
              </w:rPr>
              <w:t>Déchets non dangereux</w:t>
            </w:r>
          </w:p>
        </w:tc>
        <w:tc>
          <w:tcPr>
            <w:tcW w:w="1201" w:type="pct"/>
          </w:tcPr>
          <w:p w:rsidR="002E36BF" w:rsidRPr="00242846" w:rsidRDefault="002E36BF" w:rsidP="002E36BF">
            <w:pPr>
              <w:jc w:val="center"/>
            </w:pPr>
            <w:r w:rsidRPr="00242846">
              <w:t>6,6%</w:t>
            </w:r>
            <w:r w:rsidR="009F56FE">
              <w:t>***</w:t>
            </w:r>
          </w:p>
        </w:tc>
        <w:tc>
          <w:tcPr>
            <w:tcW w:w="1174" w:type="pct"/>
          </w:tcPr>
          <w:p w:rsidR="002E36BF" w:rsidRPr="00242846" w:rsidRDefault="002E36BF" w:rsidP="002E36BF">
            <w:pPr>
              <w:jc w:val="center"/>
            </w:pPr>
            <w:r w:rsidRPr="00242846">
              <w:t>373</w:t>
            </w:r>
          </w:p>
        </w:tc>
        <w:tc>
          <w:tcPr>
            <w:tcW w:w="1379" w:type="pct"/>
          </w:tcPr>
          <w:p w:rsidR="002E36BF" w:rsidRPr="00242846" w:rsidRDefault="002E36BF" w:rsidP="002E36BF">
            <w:pPr>
              <w:jc w:val="center"/>
            </w:pPr>
            <w:r w:rsidRPr="00242846">
              <w:t>0,07</w:t>
            </w:r>
          </w:p>
        </w:tc>
      </w:tr>
      <w:tr w:rsidR="002E36BF" w:rsidRPr="00567EC8" w:rsidTr="00236CF2">
        <w:tc>
          <w:tcPr>
            <w:tcW w:w="1246" w:type="pct"/>
            <w:tcBorders>
              <w:top w:val="nil"/>
              <w:left w:val="nil"/>
              <w:bottom w:val="single" w:sz="18" w:space="0" w:color="auto"/>
              <w:right w:val="nil"/>
            </w:tcBorders>
            <w:shd w:val="clear" w:color="auto" w:fill="FFFFFF"/>
            <w:noWrap/>
          </w:tcPr>
          <w:p w:rsidR="002E36BF" w:rsidRPr="00DD0FD6" w:rsidRDefault="002E36BF" w:rsidP="005A6CD9">
            <w:pPr>
              <w:rPr>
                <w:rFonts w:cs="Arial"/>
                <w:color w:val="000000"/>
                <w:sz w:val="20"/>
                <w:szCs w:val="20"/>
              </w:rPr>
            </w:pPr>
            <w:r w:rsidRPr="00DD0FD6">
              <w:rPr>
                <w:rFonts w:cs="Arial"/>
                <w:color w:val="000000"/>
                <w:sz w:val="20"/>
                <w:szCs w:val="20"/>
              </w:rPr>
              <w:t>Déchets dangereux</w:t>
            </w:r>
          </w:p>
        </w:tc>
        <w:tc>
          <w:tcPr>
            <w:tcW w:w="1201" w:type="pct"/>
            <w:tcBorders>
              <w:top w:val="nil"/>
              <w:left w:val="nil"/>
              <w:bottom w:val="single" w:sz="18" w:space="0" w:color="auto"/>
              <w:right w:val="nil"/>
            </w:tcBorders>
            <w:shd w:val="clear" w:color="auto" w:fill="FFFFFF"/>
          </w:tcPr>
          <w:p w:rsidR="002E36BF" w:rsidRPr="00242846" w:rsidRDefault="002E36BF" w:rsidP="002E36BF">
            <w:pPr>
              <w:jc w:val="center"/>
            </w:pPr>
            <w:r w:rsidRPr="00242846">
              <w:t>1,6%</w:t>
            </w:r>
          </w:p>
        </w:tc>
        <w:tc>
          <w:tcPr>
            <w:tcW w:w="1174" w:type="pct"/>
            <w:tcBorders>
              <w:top w:val="nil"/>
              <w:left w:val="nil"/>
              <w:bottom w:val="single" w:sz="18" w:space="0" w:color="auto"/>
              <w:right w:val="nil"/>
            </w:tcBorders>
            <w:shd w:val="clear" w:color="auto" w:fill="FFFFFF"/>
          </w:tcPr>
          <w:p w:rsidR="002E36BF" w:rsidRPr="00242846" w:rsidRDefault="002E36BF" w:rsidP="002E36BF">
            <w:pPr>
              <w:jc w:val="center"/>
            </w:pPr>
            <w:r w:rsidRPr="00242846">
              <w:t>89</w:t>
            </w:r>
          </w:p>
        </w:tc>
        <w:tc>
          <w:tcPr>
            <w:tcW w:w="1379" w:type="pct"/>
            <w:tcBorders>
              <w:top w:val="nil"/>
              <w:left w:val="nil"/>
              <w:bottom w:val="single" w:sz="18" w:space="0" w:color="auto"/>
              <w:right w:val="nil"/>
            </w:tcBorders>
            <w:shd w:val="clear" w:color="auto" w:fill="FFFFFF"/>
          </w:tcPr>
          <w:p w:rsidR="002E36BF" w:rsidRDefault="002E36BF" w:rsidP="002E36BF">
            <w:pPr>
              <w:jc w:val="center"/>
            </w:pPr>
            <w:r w:rsidRPr="00242846">
              <w:t>0,017</w:t>
            </w:r>
          </w:p>
        </w:tc>
      </w:tr>
    </w:tbl>
    <w:p w:rsidR="00FC1EE1" w:rsidRPr="00805926" w:rsidRDefault="00FC1EE1" w:rsidP="00FC1EE1">
      <w:pPr>
        <w:pStyle w:val="Lgende"/>
      </w:pPr>
      <w:r w:rsidRPr="00805926">
        <w:t xml:space="preserve">Tableau </w:t>
      </w:r>
      <w:r w:rsidR="009472D5">
        <w:fldChar w:fldCharType="begin"/>
      </w:r>
      <w:r w:rsidR="009472D5">
        <w:instrText xml:space="preserve"> SEQ Tableau \* ARABIC </w:instrText>
      </w:r>
      <w:r w:rsidR="009472D5">
        <w:fldChar w:fldCharType="separate"/>
      </w:r>
      <w:r w:rsidR="00805926" w:rsidRPr="00805926">
        <w:t>2</w:t>
      </w:r>
      <w:r w:rsidR="009472D5">
        <w:fldChar w:fldCharType="end"/>
      </w:r>
      <w:r w:rsidRPr="00805926">
        <w:t xml:space="preserve">. Principaux ratios de production de déchets de </w:t>
      </w:r>
      <w:r w:rsidR="009F56FE" w:rsidRPr="00805926">
        <w:t>13</w:t>
      </w:r>
      <w:r w:rsidRPr="00805926">
        <w:t>6 opérations</w:t>
      </w:r>
      <w:r w:rsidRPr="0062636F">
        <w:rPr>
          <w:vertAlign w:val="superscript"/>
        </w:rPr>
        <w:footnoteReference w:id="3"/>
      </w:r>
    </w:p>
    <w:p w:rsidR="00236CF2" w:rsidRPr="005D69FD" w:rsidRDefault="00236CF2" w:rsidP="00236CF2">
      <w:pPr>
        <w:rPr>
          <w:i/>
          <w:sz w:val="22"/>
        </w:rPr>
      </w:pPr>
      <w:r w:rsidRPr="005D69FD">
        <w:rPr>
          <w:i/>
          <w:sz w:val="22"/>
        </w:rPr>
        <w:t>* Les ratios dépendent du système constructif (constructions bois ou métalliques &lt;&lt; béton), de l’ampleur de la</w:t>
      </w:r>
      <w:r w:rsidRPr="005D69FD">
        <w:rPr>
          <w:rFonts w:cs="Arial"/>
          <w:i/>
          <w:sz w:val="18"/>
          <w:szCs w:val="20"/>
        </w:rPr>
        <w:t xml:space="preserve"> </w:t>
      </w:r>
      <w:r w:rsidRPr="005D69FD">
        <w:rPr>
          <w:i/>
          <w:sz w:val="22"/>
        </w:rPr>
        <w:t>démolition (fondations inclus ou non) et de celle de séparation des matériaux, des proportions de matériaux inertes recouverts d’enduits plâtre.</w:t>
      </w:r>
    </w:p>
    <w:p w:rsidR="00236CF2" w:rsidRPr="005D69FD" w:rsidRDefault="00236CF2" w:rsidP="00236CF2">
      <w:pPr>
        <w:rPr>
          <w:i/>
          <w:sz w:val="22"/>
        </w:rPr>
      </w:pPr>
      <w:r w:rsidRPr="005D69FD">
        <w:rPr>
          <w:i/>
          <w:sz w:val="22"/>
        </w:rPr>
        <w:t>** Majorité de ratio de déchets inertes aux environ de 1 /m² SHOB du fait de la forte majorité des systèmes constructifs en béton.</w:t>
      </w:r>
    </w:p>
    <w:p w:rsidR="009F56FE" w:rsidRPr="005D69FD" w:rsidRDefault="009F56FE" w:rsidP="00236CF2">
      <w:pPr>
        <w:rPr>
          <w:i/>
          <w:sz w:val="22"/>
        </w:rPr>
      </w:pPr>
      <w:r w:rsidRPr="005D69FD">
        <w:rPr>
          <w:i/>
          <w:sz w:val="22"/>
        </w:rPr>
        <w:t>*** jusqu’à près de 20% avec des cloisons recouvertes d’enduits plâtre.</w:t>
      </w:r>
    </w:p>
    <w:p w:rsidR="00236CF2" w:rsidRPr="00236CF2" w:rsidRDefault="00236CF2" w:rsidP="00236CF2"/>
    <w:p w:rsidR="005743E2" w:rsidRPr="00FC49FA" w:rsidRDefault="005743E2" w:rsidP="005743E2">
      <w:r w:rsidRPr="00FC49FA">
        <w:t>Pour chaque type de déchets et matériaux, 2 à 3 natures représentent deux tiers à plus de 98% de la quantité produite, à savoir : (cf. détail en annexe)</w:t>
      </w:r>
    </w:p>
    <w:p w:rsidR="005743E2" w:rsidRPr="00FC49FA" w:rsidRDefault="005743E2" w:rsidP="00FC49FA">
      <w:pPr>
        <w:numPr>
          <w:ilvl w:val="0"/>
          <w:numId w:val="4"/>
        </w:numPr>
      </w:pPr>
      <w:r w:rsidRPr="00FC49FA">
        <w:t>Inertes : bétons et pierres à 77% et mélanges à 18% ;</w:t>
      </w:r>
    </w:p>
    <w:p w:rsidR="005743E2" w:rsidRPr="00FC49FA" w:rsidRDefault="005743E2" w:rsidP="00FC49FA">
      <w:pPr>
        <w:numPr>
          <w:ilvl w:val="0"/>
          <w:numId w:val="4"/>
        </w:numPr>
      </w:pPr>
      <w:r w:rsidRPr="00FC49FA">
        <w:t>Non dangereux : métaux à 44%, mélanges à 19% et bois non traités (dits « bois A ») à 11% ;</w:t>
      </w:r>
    </w:p>
    <w:p w:rsidR="005743E2" w:rsidRPr="00FC49FA" w:rsidRDefault="005743E2" w:rsidP="00FC49FA">
      <w:pPr>
        <w:numPr>
          <w:ilvl w:val="0"/>
          <w:numId w:val="4"/>
        </w:numPr>
      </w:pPr>
      <w:r w:rsidRPr="00FC49FA">
        <w:t>Dangereux (sans tenir compte de la donnée incohérente ou exceptionnelle citée précédemment) : amiante lié à des matériaux inertes à 2</w:t>
      </w:r>
      <w:r w:rsidR="002E36BF" w:rsidRPr="00FC49FA">
        <w:t>8</w:t>
      </w:r>
      <w:r w:rsidRPr="00FC49FA">
        <w:t>%, terres contenant des substances dangereuses à 3</w:t>
      </w:r>
      <w:r w:rsidR="002E36BF" w:rsidRPr="00FC49FA">
        <w:t>6</w:t>
      </w:r>
      <w:r w:rsidRPr="00FC49FA">
        <w:t>% et autres déchets dangereux à 2</w:t>
      </w:r>
      <w:r w:rsidR="002E36BF" w:rsidRPr="00FC49FA">
        <w:t>0</w:t>
      </w:r>
      <w:r w:rsidRPr="00FC49FA">
        <w:t>%.</w:t>
      </w:r>
    </w:p>
    <w:p w:rsidR="00FC1EE1" w:rsidRDefault="009472D5" w:rsidP="00903DDF">
      <w:r>
        <w:rPr>
          <w:rFonts w:ascii="Calibri" w:hAnsi="Calibri"/>
          <w:noProof/>
          <w:sz w:val="22"/>
          <w:szCs w:val="22"/>
          <w:lang w:eastAsia="en-US"/>
        </w:rPr>
        <w:pict>
          <v:shapetype id="_x0000_t202" coordsize="21600,21600" o:spt="202" path="m,l,21600r21600,l21600,xe">
            <v:stroke joinstyle="miter"/>
            <v:path gradientshapeok="t" o:connecttype="rect"/>
          </v:shapetype>
          <v:shape id="Zone de texte 2" o:spid="_x0000_s1026" type="#_x0000_t202" style="position:absolute;left:0;text-align:left;margin-left:49.6pt;margin-top:4.25pt;width:353.6pt;height:232.15pt;z-index:1;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" fillcolor="#d8d8d8">
            <v:textbox>
              <w:txbxContent>
                <w:p w:rsidR="00342034" w:rsidRDefault="00342034" w:rsidP="00342034">
                  <w:pPr>
                    <w:rPr>
                      <w:sz w:val="18"/>
                      <w:szCs w:val="20"/>
                      <w:u w:val="single"/>
                    </w:rPr>
                  </w:pPr>
                  <w:r w:rsidRPr="000E59A2">
                    <w:rPr>
                      <w:sz w:val="18"/>
                      <w:szCs w:val="20"/>
                      <w:u w:val="single"/>
                    </w:rPr>
                    <w:t xml:space="preserve">Surface de plancher </w:t>
                  </w:r>
                  <w:r>
                    <w:rPr>
                      <w:sz w:val="18"/>
                      <w:szCs w:val="20"/>
                      <w:u w:val="single"/>
                    </w:rPr>
                    <w:t xml:space="preserve">(SDP) </w:t>
                  </w:r>
                  <w:r w:rsidRPr="000E59A2">
                    <w:rPr>
                      <w:sz w:val="18"/>
                      <w:szCs w:val="20"/>
                      <w:u w:val="single"/>
                    </w:rPr>
                    <w:t>vs. Surface hors œuvre brute</w:t>
                  </w:r>
                  <w:r>
                    <w:rPr>
                      <w:sz w:val="18"/>
                      <w:szCs w:val="20"/>
                      <w:u w:val="single"/>
                    </w:rPr>
                    <w:t xml:space="preserve"> (SHOB)</w:t>
                  </w:r>
                </w:p>
                <w:p w:rsidR="00342034" w:rsidRPr="000E59A2" w:rsidRDefault="00342034" w:rsidP="00342034">
                  <w:pPr>
                    <w:rPr>
                      <w:sz w:val="18"/>
                      <w:szCs w:val="20"/>
                      <w:u w:val="single"/>
                    </w:rPr>
                  </w:pPr>
                </w:p>
                <w:p w:rsidR="00342034" w:rsidRPr="000E59A2" w:rsidRDefault="00342034" w:rsidP="00342034">
                  <w:pPr>
                    <w:rPr>
                      <w:sz w:val="18"/>
                      <w:szCs w:val="20"/>
                    </w:rPr>
                  </w:pPr>
                  <w:r w:rsidRPr="000E59A2">
                    <w:rPr>
                      <w:sz w:val="18"/>
                      <w:szCs w:val="20"/>
                    </w:rPr>
                    <w:t>Les données permettant de calculer un coefficient de conversion entre ces 2 types de surface, en fonction du type de bâtiment, sont assez limitées.</w:t>
                  </w:r>
                </w:p>
                <w:p w:rsidR="00342034" w:rsidRPr="000E59A2" w:rsidRDefault="00342034" w:rsidP="00342034">
                  <w:pPr>
                    <w:rPr>
                      <w:sz w:val="18"/>
                      <w:szCs w:val="20"/>
                    </w:rPr>
                  </w:pPr>
                  <w:r w:rsidRPr="000E59A2">
                    <w:rPr>
                      <w:sz w:val="18"/>
                      <w:szCs w:val="20"/>
                    </w:rPr>
                    <w:t>2 sources documentaires permettent de le faire pour les logements individuels et collectifs</w:t>
                  </w:r>
                  <w:r>
                    <w:rPr>
                      <w:sz w:val="18"/>
                      <w:szCs w:val="20"/>
                    </w:rPr>
                    <w:t> :</w:t>
                  </w:r>
                </w:p>
                <w:p w:rsidR="00342034" w:rsidRDefault="00342034" w:rsidP="00342034">
                  <w:pPr>
                    <w:numPr>
                      <w:ilvl w:val="0"/>
                      <w:numId w:val="2"/>
                    </w:numPr>
                    <w:spacing w:line="240" w:lineRule="auto"/>
                    <w:rPr>
                      <w:sz w:val="18"/>
                      <w:szCs w:val="20"/>
                    </w:rPr>
                  </w:pPr>
                  <w:r w:rsidRPr="006819D3">
                    <w:rPr>
                      <w:sz w:val="18"/>
                      <w:szCs w:val="20"/>
                    </w:rPr>
                    <w:t>Avertissement aux utilisateurs des séries SIT@DEL2</w:t>
                  </w:r>
                  <w:r>
                    <w:rPr>
                      <w:sz w:val="18"/>
                      <w:szCs w:val="20"/>
                    </w:rPr>
                    <w:t xml:space="preserve">, </w:t>
                  </w:r>
                  <w:r w:rsidRPr="006819D3">
                    <w:rPr>
                      <w:sz w:val="18"/>
                      <w:szCs w:val="20"/>
                    </w:rPr>
                    <w:t>Entrée en vigueur de la surface de plancher au 1er mars 2012</w:t>
                  </w:r>
                  <w:r>
                    <w:rPr>
                      <w:sz w:val="18"/>
                      <w:szCs w:val="20"/>
                    </w:rPr>
                    <w:t>, Ministère en charge de l’environnement, CGDD, décembre 2013.</w:t>
                  </w:r>
                </w:p>
                <w:p w:rsidR="00342034" w:rsidRPr="000E59A2" w:rsidRDefault="00342034" w:rsidP="00342034">
                  <w:pPr>
                    <w:numPr>
                      <w:ilvl w:val="0"/>
                      <w:numId w:val="2"/>
                    </w:numPr>
                    <w:spacing w:line="240" w:lineRule="auto"/>
                    <w:rPr>
                      <w:sz w:val="18"/>
                      <w:szCs w:val="20"/>
                    </w:rPr>
                  </w:pPr>
                  <w:r>
                    <w:rPr>
                      <w:sz w:val="18"/>
                      <w:szCs w:val="20"/>
                    </w:rPr>
                    <w:t>G</w:t>
                  </w:r>
                  <w:r w:rsidRPr="006819D3">
                    <w:rPr>
                      <w:sz w:val="18"/>
                      <w:szCs w:val="20"/>
                    </w:rPr>
                    <w:t>estion sélective des déchets sur les chantiers de construction</w:t>
                  </w:r>
                  <w:r>
                    <w:rPr>
                      <w:sz w:val="18"/>
                      <w:szCs w:val="20"/>
                    </w:rPr>
                    <w:t>, ADEME, novembre 2001.</w:t>
                  </w:r>
                </w:p>
                <w:p w:rsidR="00342034" w:rsidRDefault="00342034" w:rsidP="00342034">
                  <w:pPr>
                    <w:rPr>
                      <w:sz w:val="18"/>
                      <w:szCs w:val="20"/>
                    </w:rPr>
                  </w:pPr>
                </w:p>
                <w:p w:rsidR="00342034" w:rsidRDefault="00342034" w:rsidP="00342034">
                  <w:pPr>
                    <w:rPr>
                      <w:sz w:val="18"/>
                      <w:szCs w:val="20"/>
                    </w:rPr>
                  </w:pPr>
                  <w:r>
                    <w:rPr>
                      <w:sz w:val="18"/>
                      <w:szCs w:val="20"/>
                    </w:rPr>
                    <w:t>Les ratios SHOB/SDP calculés sont les suivants :</w:t>
                  </w:r>
                </w:p>
                <w:p w:rsidR="00342034" w:rsidRDefault="00342034" w:rsidP="00342034">
                  <w:pPr>
                    <w:numPr>
                      <w:ilvl w:val="0"/>
                      <w:numId w:val="3"/>
                    </w:numPr>
                    <w:spacing w:line="240" w:lineRule="auto"/>
                    <w:rPr>
                      <w:sz w:val="18"/>
                      <w:szCs w:val="20"/>
                    </w:rPr>
                  </w:pPr>
                  <w:r>
                    <w:rPr>
                      <w:sz w:val="18"/>
                      <w:szCs w:val="20"/>
                    </w:rPr>
                    <w:t>Pour le logement individuel : SHOB/SDP = 1,04</w:t>
                  </w:r>
                </w:p>
                <w:p w:rsidR="00342034" w:rsidRDefault="00342034" w:rsidP="00342034">
                  <w:pPr>
                    <w:numPr>
                      <w:ilvl w:val="0"/>
                      <w:numId w:val="3"/>
                    </w:numPr>
                    <w:spacing w:line="240" w:lineRule="auto"/>
                    <w:rPr>
                      <w:sz w:val="18"/>
                      <w:szCs w:val="20"/>
                    </w:rPr>
                  </w:pPr>
                  <w:r>
                    <w:rPr>
                      <w:sz w:val="18"/>
                      <w:szCs w:val="20"/>
                    </w:rPr>
                    <w:t>Pour le logement collectif : SHOB/SDP = 1,47</w:t>
                  </w:r>
                </w:p>
                <w:p w:rsidR="00342034" w:rsidRDefault="00342034" w:rsidP="00342034">
                  <w:pPr>
                    <w:rPr>
                      <w:sz w:val="18"/>
                      <w:szCs w:val="20"/>
                    </w:rPr>
                  </w:pPr>
                </w:p>
                <w:p w:rsidR="00342034" w:rsidRPr="000E59A2" w:rsidRDefault="00342034" w:rsidP="00342034">
                  <w:pPr>
                    <w:rPr>
                      <w:sz w:val="18"/>
                      <w:szCs w:val="20"/>
                    </w:rPr>
                  </w:pPr>
                  <w:r>
                    <w:rPr>
                      <w:sz w:val="18"/>
                      <w:szCs w:val="20"/>
                    </w:rPr>
                    <w:t>Ils sont toutefois à considérer avec précaution au vu du faible nombre de valeurs sur lequel ils ont été calculés.</w:t>
                  </w:r>
                </w:p>
              </w:txbxContent>
            </v:textbox>
          </v:shape>
        </w:pict>
      </w:r>
    </w:p>
    <w:p w:rsidR="00342034" w:rsidRDefault="00342034" w:rsidP="00903DDF"/>
    <w:p w:rsidR="00342034" w:rsidRDefault="00342034" w:rsidP="00903DDF"/>
    <w:p w:rsidR="00342034" w:rsidRDefault="00342034" w:rsidP="00903DDF"/>
    <w:p w:rsidR="00342034" w:rsidRDefault="00342034" w:rsidP="00903DDF"/>
    <w:p w:rsidR="009F56FE" w:rsidRDefault="009F56FE"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5D69FD" w:rsidRDefault="005D69FD" w:rsidP="00903DDF">
      <w:r>
        <w:br w:type="page"/>
      </w:r>
    </w:p>
    <w:p w:rsidR="00427E06" w:rsidRPr="005D69FD" w:rsidRDefault="00FC1EE1" w:rsidP="005D69FD">
      <w:pPr>
        <w:pStyle w:val="Titre"/>
        <w:numPr>
          <w:ilvl w:val="1"/>
          <w:numId w:val="6"/>
        </w:numPr>
        <w:rPr>
          <w:i/>
        </w:rPr>
      </w:pPr>
      <w:r w:rsidRPr="005D69FD">
        <w:rPr>
          <w:i/>
        </w:rPr>
        <w:t>Réhabilitation</w:t>
      </w:r>
      <w:r w:rsidRPr="0062636F">
        <w:rPr>
          <w:i/>
          <w:vertAlign w:val="superscript"/>
        </w:rPr>
        <w:footnoteReference w:id="4"/>
      </w:r>
    </w:p>
    <w:p w:rsidR="00FC1EE1" w:rsidRDefault="00FC1EE1" w:rsidP="0062636F">
      <w:pPr>
        <w:spacing w:line="240" w:lineRule="auto"/>
      </w:pPr>
    </w:p>
    <w:p w:rsidR="00FC1EE1" w:rsidRPr="00FC49FA" w:rsidRDefault="00FC1EE1" w:rsidP="0062636F">
      <w:pPr>
        <w:numPr>
          <w:ilvl w:val="0"/>
          <w:numId w:val="5"/>
        </w:numPr>
        <w:spacing w:line="240" w:lineRule="auto"/>
      </w:pPr>
      <w:r w:rsidRPr="00FC49FA">
        <w:t>Milieu occupé (Logements collectifs) : 5 kg de déchets/m</w:t>
      </w:r>
      <w:r w:rsidR="00FC49FA">
        <w:t>²</w:t>
      </w:r>
      <w:r w:rsidRPr="00FC49FA">
        <w:t>*</w:t>
      </w:r>
    </w:p>
    <w:p w:rsidR="00FC1EE1" w:rsidRPr="00FC49FA" w:rsidRDefault="00FC1EE1" w:rsidP="0062636F">
      <w:pPr>
        <w:numPr>
          <w:ilvl w:val="0"/>
          <w:numId w:val="5"/>
        </w:numPr>
        <w:spacing w:line="240" w:lineRule="auto"/>
      </w:pPr>
      <w:r w:rsidRPr="00FC49FA">
        <w:t>Milieu semi occupé (Tertiaire) : 20 kg de déchets/m</w:t>
      </w:r>
      <w:r w:rsidR="00FC49FA">
        <w:t>²</w:t>
      </w:r>
      <w:r w:rsidRPr="00FC49FA">
        <w:t>*</w:t>
      </w:r>
    </w:p>
    <w:p w:rsidR="00FC1EE1" w:rsidRPr="00FC49FA" w:rsidRDefault="00FC1EE1" w:rsidP="0062636F">
      <w:pPr>
        <w:numPr>
          <w:ilvl w:val="0"/>
          <w:numId w:val="5"/>
        </w:numPr>
        <w:spacing w:line="240" w:lineRule="auto"/>
      </w:pPr>
      <w:r w:rsidRPr="00FC49FA">
        <w:t>Milieu non occupé (Tertiaire) : 50 kg de déchets/m</w:t>
      </w:r>
      <w:r w:rsidR="00FC49FA">
        <w:t>²</w:t>
      </w:r>
      <w:r w:rsidRPr="00FC49FA">
        <w:t>*</w:t>
      </w:r>
    </w:p>
    <w:p w:rsidR="00FC1EE1" w:rsidRPr="00FC49FA" w:rsidRDefault="00FC1EE1" w:rsidP="0062636F">
      <w:pPr>
        <w:spacing w:line="240" w:lineRule="auto"/>
      </w:pPr>
      <w:r w:rsidRPr="00FC49FA">
        <w:t>* Surface de plancher</w:t>
      </w:r>
    </w:p>
    <w:p w:rsidR="005743E2" w:rsidRDefault="005743E2" w:rsidP="0062636F">
      <w:pPr>
        <w:spacing w:line="240" w:lineRule="auto"/>
      </w:pPr>
    </w:p>
    <w:p w:rsidR="00FC49FA" w:rsidRDefault="00FC49FA" w:rsidP="0062636F">
      <w:pPr>
        <w:spacing w:line="240" w:lineRule="auto"/>
      </w:pPr>
      <w:r>
        <w:t>Le détail des types de déchets rencontrés sur ces opérations de réhabilitation est fourni sur le graphique suivant.</w:t>
      </w:r>
    </w:p>
    <w:p w:rsidR="00FC49FA" w:rsidRDefault="00FC49FA" w:rsidP="0062636F">
      <w:pPr>
        <w:spacing w:line="240" w:lineRule="auto"/>
      </w:pPr>
    </w:p>
    <w:p w:rsidR="00FC49FA" w:rsidRDefault="00FC49FA" w:rsidP="0062636F">
      <w:pPr>
        <w:spacing w:line="240" w:lineRule="auto"/>
      </w:pPr>
    </w:p>
    <w:p w:rsidR="00FC49FA" w:rsidRDefault="009472D5" w:rsidP="0062636F">
      <w:pPr>
        <w:spacing w:line="240" w:lineRule="auto"/>
      </w:pPr>
      <w:r>
        <w:rPr>
          <w:noProof/>
        </w:rPr>
        <w:pict>
          <v:shape id="_x0000_s1042" type="#_x0000_t202" style="position:absolute;left:0;text-align:left;margin-left:360.4pt;margin-top:137.5pt;width:53.2pt;height:55.5pt;z-index:7">
            <v:textbox style="mso-next-textbox:#_x0000_s1042">
              <w:txbxContent>
                <w:p w:rsidR="00FC49FA" w:rsidRDefault="00FC49FA" w:rsidP="00FC49FA">
                  <w:pPr>
                    <w:jc w:val="center"/>
                  </w:pPr>
                  <w:r>
                    <w:t>Milieu non occupé</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338.65pt;margin-top:137.5pt;width:17.25pt;height:45pt;z-index:6">
            <v:textbox style="mso-next-textbox:#_x0000_s1041">
              <w:txbxContent>
                <w:p w:rsidR="00FC49FA" w:rsidRDefault="00FC49FA" w:rsidP="00FC49FA"/>
              </w:txbxContent>
            </v:textbox>
          </v:shape>
        </w:pict>
      </w:r>
      <w:r>
        <w:rPr>
          <w:noProof/>
        </w:rPr>
        <w:pict>
          <v:shape id="_x0000_s1039" type="#_x0000_t202" style="position:absolute;left:0;text-align:left;margin-left:310.9pt;margin-top:85.75pt;width:96.7pt;height:36.75pt;z-index:5">
            <v:textbox style="mso-next-textbox:#_x0000_s1039">
              <w:txbxContent>
                <w:p w:rsidR="00FC49FA" w:rsidRDefault="00FC49FA" w:rsidP="00FC49FA">
                  <w:pPr>
                    <w:jc w:val="center"/>
                  </w:pPr>
                  <w:r>
                    <w:t>Milieu semi-occupé</w:t>
                  </w:r>
                </w:p>
              </w:txbxContent>
            </v:textbox>
          </v:shape>
        </w:pict>
      </w:r>
      <w:r>
        <w:rPr>
          <w:noProof/>
        </w:rPr>
        <w:pict>
          <v:shape id="_x0000_s1038" type="#_x0000_t88" style="position:absolute;left:0;text-align:left;margin-left:279.4pt;margin-top:85.75pt;width:17.25pt;height:45pt;z-index:4">
            <v:textbox style="mso-next-textbox:#_x0000_s1038">
              <w:txbxContent>
                <w:p w:rsidR="00FC49FA" w:rsidRDefault="00FC49FA" w:rsidP="00FC49FA"/>
              </w:txbxContent>
            </v:textbox>
          </v:shape>
        </w:pict>
      </w:r>
      <w:r>
        <w:rPr>
          <w:noProof/>
        </w:rPr>
        <w:pict>
          <v:shape id="_x0000_s1037" type="#_x0000_t202" style="position:absolute;left:0;text-align:left;margin-left:298.15pt;margin-top:25.75pt;width:99.75pt;height:27.75pt;z-index:3">
            <v:textbox>
              <w:txbxContent>
                <w:p w:rsidR="00FC49FA" w:rsidRDefault="00FC49FA" w:rsidP="00FC49FA">
                  <w:pPr>
                    <w:jc w:val="center"/>
                  </w:pPr>
                  <w:r>
                    <w:t>Milieu occupé</w:t>
                  </w:r>
                </w:p>
              </w:txbxContent>
            </v:textbox>
          </v:shape>
        </w:pict>
      </w:r>
      <w:r>
        <w:rPr>
          <w:noProof/>
        </w:rPr>
        <w:pict>
          <v:shape id="_x0000_s1035" type="#_x0000_t88" style="position:absolute;left:0;text-align:left;margin-left:256.9pt;margin-top:16.75pt;width:17.25pt;height:65.25pt;z-index:2">
            <v:textbox style="mso-next-textbox:#_x0000_s1035">
              <w:txbxContent>
                <w:p w:rsidR="00FC49FA" w:rsidRDefault="00FC49FA"/>
              </w:txbxContent>
            </v:textbox>
          </v:shape>
        </w:pict>
      </w:r>
      <w:r w:rsidR="00AD42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65.5pt;mso-left-percent:-10001;mso-top-percent:-10001;mso-position-horizontal:absolute;mso-position-horizontal-relative:char;mso-position-vertical:absolute;mso-position-vertical-relative:line;mso-left-percent:-10001;mso-top-percent:-10001">
            <v:imagedata r:id="rId8" o:title=""/>
          </v:shape>
        </w:pict>
      </w:r>
    </w:p>
    <w:p w:rsidR="00FC49FA" w:rsidRDefault="00FC49FA" w:rsidP="0062636F">
      <w:pPr>
        <w:spacing w:line="240" w:lineRule="auto"/>
      </w:pPr>
    </w:p>
    <w:p w:rsidR="00FC49FA" w:rsidRDefault="00FC49FA" w:rsidP="0062636F">
      <w:pPr>
        <w:spacing w:line="240" w:lineRule="auto"/>
      </w:pPr>
    </w:p>
    <w:p w:rsidR="00FC49FA" w:rsidRDefault="00FC49FA" w:rsidP="0062636F">
      <w:pPr>
        <w:spacing w:line="240" w:lineRule="auto"/>
      </w:pPr>
    </w:p>
    <w:p w:rsidR="00FC49FA" w:rsidRDefault="005D69FD">
      <w:r>
        <w:br w:type="page"/>
      </w:r>
    </w:p>
    <w:p w:rsidR="005D69FD" w:rsidRDefault="005D69FD" w:rsidP="005D69FD">
      <w:pPr>
        <w:pStyle w:val="Titre1"/>
        <w:numPr>
          <w:ilvl w:val="0"/>
          <w:numId w:val="6"/>
        </w:numPr>
      </w:pPr>
      <w:r>
        <w:t>Fiche de conversion volume / poids</w:t>
      </w:r>
    </w:p>
    <w:p w:rsidR="005D69FD" w:rsidRDefault="005D69FD"/>
    <w:p w:rsidR="00FC49FA" w:rsidRDefault="005D69FD">
      <w:r>
        <w:t>Cf. onglet spécifique dans le fichier suivant :</w:t>
      </w:r>
    </w:p>
    <w:p w:rsidR="005D69FD" w:rsidRDefault="005D69FD"/>
    <w:p w:rsidR="005D69FD" w:rsidRPr="005D69FD" w:rsidRDefault="0062636F" w:rsidP="005D69FD">
      <w:pPr>
        <w:spacing w:before="960"/>
        <w:jc w:val="center"/>
        <w:rPr>
          <w:sz w:val="44"/>
        </w:rPr>
      </w:pPr>
      <w:r>
        <w:rPr>
          <w:sz w:val="44"/>
        </w:rPr>
        <w:object w:dxaOrig="1550" w:dyaOrig="991">
          <v:shape id="_x0000_i1026" type="#_x0000_t75" style="width:77.25pt;height:49.5pt" o:ole="">
            <v:imagedata r:id="rId9" o:title=""/>
          </v:shape>
          <o:OLEObject Type="Embed" ProgID="Excel.Sheet.8" ShapeID="_x0000_i1026" DrawAspect="Icon" ObjectID="_1603109695" r:id="rId10"/>
        </w:object>
      </w:r>
    </w:p>
    <w:p w:rsidR="005D69FD" w:rsidRDefault="005D69FD"/>
    <w:p w:rsidR="005D69FD" w:rsidRDefault="005D69FD" w:rsidP="005D69FD">
      <w:pPr>
        <w:pStyle w:val="Titre1"/>
        <w:numPr>
          <w:ilvl w:val="0"/>
          <w:numId w:val="6"/>
        </w:numPr>
      </w:pPr>
      <w:r>
        <w:t>Taux de chute en construction</w:t>
      </w:r>
    </w:p>
    <w:p w:rsidR="005D69FD" w:rsidRDefault="005D69FD" w:rsidP="005D69FD"/>
    <w:p w:rsidR="005D69FD" w:rsidRPr="005D69FD" w:rsidRDefault="005D69FD" w:rsidP="005D69FD">
      <w:r>
        <w:t>Cf. onglet spécifique dans le fichier accessible au point 2 ci-dessus.</w:t>
      </w:r>
    </w:p>
    <w:p w:rsidR="00FC49FA" w:rsidRDefault="00FC49FA"/>
    <w:p w:rsidR="00FC49FA" w:rsidRDefault="00FC49FA">
      <w:pPr>
        <w:sectPr w:rsidR="00FC49FA">
          <w:headerReference w:type="default" r:id="rId11"/>
          <w:footerReference w:type="default" r:id="rId12"/>
          <w:pgSz w:w="11906" w:h="16838"/>
          <w:pgMar w:top="1417" w:right="1417" w:bottom="1417" w:left="1417" w:header="708" w:footer="708" w:gutter="0"/>
          <w:cols w:space="708"/>
          <w:docGrid w:linePitch="360"/>
        </w:sectPr>
      </w:pPr>
    </w:p>
    <w:p w:rsidR="005743E2" w:rsidRDefault="005743E2" w:rsidP="008104F0">
      <w:pPr>
        <w:pStyle w:val="Titre"/>
      </w:pPr>
      <w:r>
        <w:t>Annexe</w:t>
      </w:r>
      <w:r w:rsidR="00805926">
        <w:t xml:space="preserve">. Détail </w:t>
      </w:r>
      <w:r w:rsidR="0062636F">
        <w:t>des déchets produits lors d’opérations de démolition</w:t>
      </w:r>
    </w:p>
    <w:tbl>
      <w:tblPr>
        <w:tblW w:w="22479" w:type="dxa"/>
        <w:tblInd w:w="-497" w:type="dxa"/>
        <w:tblLayout w:type="fixed"/>
        <w:tblCellMar>
          <w:left w:w="70" w:type="dxa"/>
          <w:right w:w="70" w:type="dxa"/>
        </w:tblCellMar>
        <w:tblLook w:val="04A0" w:firstRow="1" w:lastRow="0" w:firstColumn="1" w:lastColumn="0" w:noHBand="0" w:noVBand="1"/>
      </w:tblPr>
      <w:tblGrid>
        <w:gridCol w:w="2977"/>
        <w:gridCol w:w="851"/>
        <w:gridCol w:w="642"/>
        <w:gridCol w:w="349"/>
        <w:gridCol w:w="686"/>
        <w:gridCol w:w="349"/>
        <w:gridCol w:w="752"/>
        <w:gridCol w:w="349"/>
        <w:gridCol w:w="752"/>
        <w:gridCol w:w="349"/>
        <w:gridCol w:w="862"/>
        <w:gridCol w:w="349"/>
        <w:gridCol w:w="902"/>
        <w:gridCol w:w="349"/>
        <w:gridCol w:w="515"/>
        <w:gridCol w:w="349"/>
        <w:gridCol w:w="502"/>
        <w:gridCol w:w="349"/>
        <w:gridCol w:w="686"/>
        <w:gridCol w:w="349"/>
        <w:gridCol w:w="630"/>
        <w:gridCol w:w="349"/>
        <w:gridCol w:w="657"/>
        <w:gridCol w:w="349"/>
        <w:gridCol w:w="851"/>
        <w:gridCol w:w="349"/>
        <w:gridCol w:w="710"/>
        <w:gridCol w:w="349"/>
        <w:gridCol w:w="851"/>
        <w:gridCol w:w="349"/>
        <w:gridCol w:w="526"/>
        <w:gridCol w:w="349"/>
        <w:gridCol w:w="501"/>
        <w:gridCol w:w="349"/>
        <w:gridCol w:w="493"/>
        <w:gridCol w:w="349"/>
        <w:gridCol w:w="851"/>
        <w:gridCol w:w="349"/>
      </w:tblGrid>
      <w:tr w:rsidR="005743E2" w:rsidRPr="005743E2" w:rsidTr="009F56FE">
        <w:trPr>
          <w:trHeight w:val="96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666699"/>
              <w:left w:val="single" w:sz="4" w:space="0" w:color="666699"/>
              <w:bottom w:val="single" w:sz="4" w:space="0" w:color="969696"/>
              <w:right w:val="single" w:sz="4" w:space="0" w:color="666699"/>
            </w:tcBorders>
            <w:shd w:val="clear" w:color="FFFFFF" w:fill="0066CC"/>
            <w:noWrap/>
            <w:vAlign w:val="center"/>
            <w:hideMark/>
          </w:tcPr>
          <w:p w:rsidR="005743E2" w:rsidRPr="005743E2" w:rsidRDefault="005743E2" w:rsidP="005743E2">
            <w:pPr>
              <w:spacing w:line="240" w:lineRule="auto"/>
              <w:jc w:val="left"/>
              <w:rPr>
                <w:rFonts w:ascii="Arial" w:hAnsi="Arial" w:cs="Arial"/>
                <w:b/>
                <w:bCs/>
                <w:color w:val="FFFFFF"/>
                <w:sz w:val="18"/>
                <w:szCs w:val="18"/>
              </w:rPr>
            </w:pPr>
            <w:r w:rsidRPr="005743E2">
              <w:rPr>
                <w:rFonts w:ascii="Arial" w:hAnsi="Arial" w:cs="Arial"/>
                <w:b/>
                <w:bCs/>
                <w:color w:val="FFFFFF"/>
                <w:sz w:val="18"/>
                <w:szCs w:val="18"/>
              </w:rPr>
              <w:t>Total</w:t>
            </w:r>
          </w:p>
        </w:tc>
        <w:tc>
          <w:tcPr>
            <w:tcW w:w="99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Béton et pierre</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Autres déchets inertes</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Céramique (carrelage, faïence et sanitaires)</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Mélanges bitumineux (sans goudron)</w:t>
            </w:r>
          </w:p>
        </w:tc>
        <w:tc>
          <w:tcPr>
            <w:tcW w:w="121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9F56FE">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Mélanges de DI sans DND</w:t>
            </w:r>
          </w:p>
        </w:tc>
        <w:tc>
          <w:tcPr>
            <w:tcW w:w="12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Terres (hors terre végétale) non polluées</w:t>
            </w:r>
          </w:p>
        </w:tc>
        <w:tc>
          <w:tcPr>
            <w:tcW w:w="864"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Tuiles et briques</w:t>
            </w:r>
          </w:p>
        </w:tc>
        <w:tc>
          <w:tcPr>
            <w:tcW w:w="8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Verre sans menuiserie</w:t>
            </w:r>
          </w:p>
        </w:tc>
        <w:tc>
          <w:tcPr>
            <w:tcW w:w="103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600"/>
        </w:trPr>
        <w:tc>
          <w:tcPr>
            <w:tcW w:w="2977" w:type="dxa"/>
            <w:tcBorders>
              <w:top w:val="nil"/>
              <w:left w:val="nil"/>
              <w:bottom w:val="nil"/>
              <w:right w:val="single" w:sz="4" w:space="0" w:color="969696"/>
            </w:tcBorders>
            <w:shd w:val="clear" w:color="auto" w:fill="auto"/>
            <w:vAlign w:val="center"/>
            <w:hideMark/>
          </w:tcPr>
          <w:p w:rsidR="005743E2" w:rsidRPr="005743E2" w:rsidRDefault="005743E2" w:rsidP="005743E2">
            <w:pPr>
              <w:spacing w:line="240" w:lineRule="auto"/>
              <w:jc w:val="left"/>
              <w:rPr>
                <w:rFonts w:ascii="Calibri" w:hAnsi="Calibri"/>
                <w:color w:val="000000"/>
                <w:sz w:val="22"/>
                <w:szCs w:val="22"/>
              </w:rPr>
            </w:pPr>
            <w:r w:rsidRPr="005743E2">
              <w:rPr>
                <w:rFonts w:ascii="Calibri" w:hAnsi="Calibri"/>
                <w:color w:val="000000"/>
                <w:sz w:val="22"/>
                <w:szCs w:val="22"/>
              </w:rPr>
              <w:t>Matériaux et déchets inertes</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656695</w:t>
            </w: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506777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8716</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1825</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5615</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119356</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1343</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12937</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126</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9F56FE" w:rsidP="005743E2">
            <w:pPr>
              <w:spacing w:line="240" w:lineRule="auto"/>
              <w:jc w:val="right"/>
              <w:rPr>
                <w:rFonts w:ascii="Calibri" w:hAnsi="Calibri"/>
                <w:i/>
                <w:iCs/>
                <w:color w:val="000000"/>
                <w:sz w:val="22"/>
                <w:szCs w:val="22"/>
              </w:rPr>
            </w:pPr>
            <w:r>
              <w:rPr>
                <w:rFonts w:ascii="Calibri" w:hAnsi="Calibri"/>
                <w:i/>
                <w:iCs/>
                <w:color w:val="000000"/>
                <w:sz w:val="22"/>
                <w:szCs w:val="22"/>
              </w:rPr>
              <w:t>Répartition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18%</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proofErr w:type="gramStart"/>
            <w:r w:rsidRPr="005743E2">
              <w:rPr>
                <w:rFonts w:ascii="Calibri" w:hAnsi="Calibri"/>
                <w:i/>
                <w:iCs/>
                <w:color w:val="000000"/>
                <w:sz w:val="22"/>
                <w:szCs w:val="22"/>
              </w:rPr>
              <w:t>quantité</w:t>
            </w:r>
            <w:proofErr w:type="gramEnd"/>
            <w:r w:rsidRPr="005743E2">
              <w:rPr>
                <w:rFonts w:ascii="Calibri" w:hAnsi="Calibri"/>
                <w:i/>
                <w:iCs/>
                <w:color w:val="000000"/>
                <w:sz w:val="22"/>
                <w:szCs w:val="22"/>
              </w:rPr>
              <w:t xml:space="preserve"> moyenne par opération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4022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69</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14</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45</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947</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11</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103</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proofErr w:type="gramStart"/>
            <w:r w:rsidRPr="005743E2">
              <w:rPr>
                <w:rFonts w:ascii="Calibri" w:hAnsi="Calibri"/>
                <w:i/>
                <w:iCs/>
                <w:color w:val="000000"/>
                <w:sz w:val="22"/>
                <w:szCs w:val="22"/>
              </w:rPr>
              <w:t>quantité</w:t>
            </w:r>
            <w:proofErr w:type="gramEnd"/>
            <w:r w:rsidRPr="005743E2">
              <w:rPr>
                <w:rFonts w:ascii="Calibri" w:hAnsi="Calibri"/>
                <w:i/>
                <w:iCs/>
                <w:color w:val="000000"/>
                <w:sz w:val="22"/>
                <w:szCs w:val="22"/>
              </w:rPr>
              <w:t xml:space="preserve"> moyenne par opération en ayant produit</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5569</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459</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87</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510</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2842</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588</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8</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r>
      <w:tr w:rsidR="005743E2" w:rsidRPr="005743E2" w:rsidTr="009F56FE">
        <w:trPr>
          <w:trHeight w:val="30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p>
        </w:tc>
        <w:tc>
          <w:tcPr>
            <w:tcW w:w="851" w:type="dxa"/>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9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1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64"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96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666699"/>
              <w:left w:val="single" w:sz="4" w:space="0" w:color="666699"/>
              <w:bottom w:val="single" w:sz="4" w:space="0" w:color="969696"/>
              <w:right w:val="single" w:sz="4" w:space="0" w:color="666699"/>
            </w:tcBorders>
            <w:shd w:val="clear" w:color="FFFFFF" w:fill="0066CC"/>
            <w:noWrap/>
            <w:vAlign w:val="center"/>
            <w:hideMark/>
          </w:tcPr>
          <w:p w:rsidR="005743E2" w:rsidRPr="005743E2" w:rsidRDefault="005743E2" w:rsidP="005743E2">
            <w:pPr>
              <w:spacing w:line="240" w:lineRule="auto"/>
              <w:jc w:val="left"/>
              <w:rPr>
                <w:rFonts w:ascii="Arial" w:hAnsi="Arial" w:cs="Arial"/>
                <w:b/>
                <w:bCs/>
                <w:color w:val="FFFFFF"/>
                <w:sz w:val="18"/>
                <w:szCs w:val="18"/>
              </w:rPr>
            </w:pPr>
            <w:r w:rsidRPr="005743E2">
              <w:rPr>
                <w:rFonts w:ascii="Arial" w:hAnsi="Arial" w:cs="Arial"/>
                <w:b/>
                <w:bCs/>
                <w:color w:val="FFFFFF"/>
                <w:sz w:val="18"/>
                <w:szCs w:val="18"/>
              </w:rPr>
              <w:t>Total</w:t>
            </w:r>
          </w:p>
        </w:tc>
        <w:tc>
          <w:tcPr>
            <w:tcW w:w="99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Plaques et carreaux</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proofErr w:type="spellStart"/>
            <w:r w:rsidRPr="005743E2">
              <w:rPr>
                <w:rFonts w:ascii="Arial" w:hAnsi="Arial" w:cs="Arial"/>
                <w:b/>
                <w:bCs/>
                <w:color w:val="FFFFFF"/>
                <w:sz w:val="18"/>
                <w:szCs w:val="18"/>
              </w:rPr>
              <w:t>Platre_enduits+support</w:t>
            </w:r>
            <w:proofErr w:type="spellEnd"/>
            <w:r w:rsidRPr="005743E2">
              <w:rPr>
                <w:rFonts w:ascii="Arial" w:hAnsi="Arial" w:cs="Arial"/>
                <w:b/>
                <w:bCs/>
                <w:color w:val="FFFFFF"/>
                <w:sz w:val="18"/>
                <w:szCs w:val="18"/>
              </w:rPr>
              <w:t xml:space="preserve"> inerte</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Complexes plâtre + isolant</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Bois non traité (A)</w:t>
            </w:r>
          </w:p>
        </w:tc>
        <w:tc>
          <w:tcPr>
            <w:tcW w:w="121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 xml:space="preserve">Bois faiblement </w:t>
            </w:r>
            <w:proofErr w:type="spellStart"/>
            <w:r w:rsidRPr="005743E2">
              <w:rPr>
                <w:rFonts w:ascii="Arial" w:hAnsi="Arial" w:cs="Arial"/>
                <w:b/>
                <w:bCs/>
                <w:color w:val="FFFFFF"/>
                <w:sz w:val="18"/>
                <w:szCs w:val="18"/>
              </w:rPr>
              <w:t>adjuvantésB</w:t>
            </w:r>
            <w:proofErr w:type="spellEnd"/>
          </w:p>
        </w:tc>
        <w:tc>
          <w:tcPr>
            <w:tcW w:w="12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Fenêtres et autres ouvertures vitrées</w:t>
            </w:r>
          </w:p>
        </w:tc>
        <w:tc>
          <w:tcPr>
            <w:tcW w:w="864"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Métaux</w:t>
            </w:r>
          </w:p>
        </w:tc>
        <w:tc>
          <w:tcPr>
            <w:tcW w:w="8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Plastiques</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proofErr w:type="spellStart"/>
            <w:r w:rsidRPr="005743E2">
              <w:rPr>
                <w:rFonts w:ascii="Arial" w:hAnsi="Arial" w:cs="Arial"/>
                <w:b/>
                <w:bCs/>
                <w:color w:val="FFFFFF"/>
                <w:sz w:val="18"/>
                <w:szCs w:val="18"/>
              </w:rPr>
              <w:t>Isolants_Laines_minérales</w:t>
            </w:r>
            <w:proofErr w:type="spellEnd"/>
          </w:p>
        </w:tc>
        <w:tc>
          <w:tcPr>
            <w:tcW w:w="979"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proofErr w:type="spellStart"/>
            <w:r w:rsidRPr="005743E2">
              <w:rPr>
                <w:rFonts w:ascii="Arial" w:hAnsi="Arial" w:cs="Arial"/>
                <w:b/>
                <w:bCs/>
                <w:color w:val="FFFFFF"/>
                <w:sz w:val="18"/>
                <w:szCs w:val="18"/>
              </w:rPr>
              <w:t>Isolants_Plastiques</w:t>
            </w:r>
            <w:proofErr w:type="spellEnd"/>
            <w:r w:rsidRPr="005743E2">
              <w:rPr>
                <w:rFonts w:ascii="Arial" w:hAnsi="Arial" w:cs="Arial"/>
                <w:b/>
                <w:bCs/>
                <w:color w:val="FFFFFF"/>
                <w:sz w:val="18"/>
                <w:szCs w:val="18"/>
              </w:rPr>
              <w:t xml:space="preserve"> alvéolaires</w:t>
            </w:r>
          </w:p>
        </w:tc>
        <w:tc>
          <w:tcPr>
            <w:tcW w:w="1006"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proofErr w:type="spellStart"/>
            <w:r w:rsidRPr="005743E2">
              <w:rPr>
                <w:rFonts w:ascii="Arial" w:hAnsi="Arial" w:cs="Arial"/>
                <w:b/>
                <w:bCs/>
                <w:color w:val="FFFFFF"/>
                <w:sz w:val="18"/>
                <w:szCs w:val="18"/>
              </w:rPr>
              <w:t>Isolants_Autres</w:t>
            </w:r>
            <w:proofErr w:type="spellEnd"/>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 xml:space="preserve">Complexe d'étanchéité sans goudron </w:t>
            </w:r>
          </w:p>
        </w:tc>
        <w:tc>
          <w:tcPr>
            <w:tcW w:w="1059"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Revêtements de sols</w:t>
            </w:r>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DEEE non dangereux</w:t>
            </w:r>
          </w:p>
        </w:tc>
        <w:tc>
          <w:tcPr>
            <w:tcW w:w="87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proofErr w:type="spellStart"/>
            <w:r w:rsidRPr="005743E2">
              <w:rPr>
                <w:rFonts w:ascii="Arial" w:hAnsi="Arial" w:cs="Arial"/>
                <w:b/>
                <w:bCs/>
                <w:color w:val="FFFFFF"/>
                <w:sz w:val="18"/>
                <w:szCs w:val="18"/>
              </w:rPr>
              <w:t>Melanges_DND</w:t>
            </w:r>
            <w:proofErr w:type="spellEnd"/>
          </w:p>
        </w:tc>
        <w:tc>
          <w:tcPr>
            <w:tcW w:w="85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Végétaux</w:t>
            </w:r>
          </w:p>
        </w:tc>
        <w:tc>
          <w:tcPr>
            <w:tcW w:w="842"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Terre végétale</w:t>
            </w:r>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Autres DND</w:t>
            </w:r>
          </w:p>
        </w:tc>
      </w:tr>
      <w:tr w:rsidR="005743E2" w:rsidRPr="005743E2" w:rsidTr="009F56FE">
        <w:trPr>
          <w:trHeight w:val="900"/>
        </w:trPr>
        <w:tc>
          <w:tcPr>
            <w:tcW w:w="2977" w:type="dxa"/>
            <w:tcBorders>
              <w:top w:val="nil"/>
              <w:left w:val="nil"/>
              <w:bottom w:val="nil"/>
              <w:right w:val="single" w:sz="4" w:space="0" w:color="969696"/>
            </w:tcBorders>
            <w:shd w:val="clear" w:color="auto" w:fill="auto"/>
            <w:vAlign w:val="center"/>
            <w:hideMark/>
          </w:tcPr>
          <w:p w:rsidR="005743E2" w:rsidRPr="005743E2" w:rsidRDefault="005743E2" w:rsidP="005743E2">
            <w:pPr>
              <w:spacing w:line="240" w:lineRule="auto"/>
              <w:jc w:val="left"/>
              <w:rPr>
                <w:rFonts w:ascii="Calibri" w:hAnsi="Calibri"/>
                <w:color w:val="000000"/>
                <w:sz w:val="22"/>
                <w:szCs w:val="22"/>
              </w:rPr>
            </w:pPr>
            <w:r w:rsidRPr="005743E2">
              <w:rPr>
                <w:rFonts w:ascii="Calibri" w:hAnsi="Calibri"/>
                <w:color w:val="000000"/>
                <w:sz w:val="22"/>
                <w:szCs w:val="22"/>
              </w:rPr>
              <w:t>Matériaux et déchets non dangereux</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46943</w:t>
            </w: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429,98</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929</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345</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5127</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2819</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39</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20491</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312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452</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80</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2987</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108</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272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78</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9086</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190</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348</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2850</w:t>
            </w: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9F56FE" w:rsidP="005743E2">
            <w:pPr>
              <w:spacing w:line="240" w:lineRule="auto"/>
              <w:jc w:val="right"/>
              <w:rPr>
                <w:rFonts w:ascii="Calibri" w:hAnsi="Calibri"/>
                <w:i/>
                <w:iCs/>
                <w:color w:val="000000"/>
                <w:sz w:val="22"/>
                <w:szCs w:val="22"/>
              </w:rPr>
            </w:pPr>
            <w:r>
              <w:rPr>
                <w:rFonts w:ascii="Calibri" w:hAnsi="Calibri"/>
                <w:i/>
                <w:iCs/>
                <w:color w:val="000000"/>
                <w:sz w:val="22"/>
                <w:szCs w:val="22"/>
              </w:rPr>
              <w:t>Répartition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11%</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44%</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19%</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w:t>
            </w: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proofErr w:type="gramStart"/>
            <w:r w:rsidRPr="005743E2">
              <w:rPr>
                <w:rFonts w:ascii="Calibri" w:hAnsi="Calibri"/>
                <w:i/>
                <w:iCs/>
                <w:color w:val="000000"/>
                <w:sz w:val="22"/>
                <w:szCs w:val="22"/>
              </w:rPr>
              <w:t>quantité</w:t>
            </w:r>
            <w:proofErr w:type="gramEnd"/>
            <w:r w:rsidRPr="005743E2">
              <w:rPr>
                <w:rFonts w:ascii="Calibri" w:hAnsi="Calibri"/>
                <w:i/>
                <w:iCs/>
                <w:color w:val="000000"/>
                <w:sz w:val="22"/>
                <w:szCs w:val="22"/>
              </w:rPr>
              <w:t xml:space="preserve"> moyenne par opération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3,4</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7,4</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2,7</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40,7</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22,4</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0,3</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162,6</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2,5</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3,6</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0,6</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23,7</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0,9</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0,6</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72,1</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1,5</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2,8</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22,6</w:t>
            </w: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proofErr w:type="gramStart"/>
            <w:r w:rsidRPr="005743E2">
              <w:rPr>
                <w:rFonts w:ascii="Calibri" w:hAnsi="Calibri"/>
                <w:i/>
                <w:iCs/>
                <w:color w:val="000000"/>
                <w:sz w:val="22"/>
                <w:szCs w:val="22"/>
              </w:rPr>
              <w:t>quantité</w:t>
            </w:r>
            <w:proofErr w:type="gramEnd"/>
            <w:r w:rsidRPr="005743E2">
              <w:rPr>
                <w:rFonts w:ascii="Calibri" w:hAnsi="Calibri"/>
                <w:i/>
                <w:iCs/>
                <w:color w:val="000000"/>
                <w:sz w:val="22"/>
                <w:szCs w:val="22"/>
              </w:rPr>
              <w:t xml:space="preserve"> moyenne par opération en ayant produit</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36</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84</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160</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49</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201</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30</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13</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498</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12</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25</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7,12</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154</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13</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92</w:t>
            </w:r>
          </w:p>
        </w:tc>
      </w:tr>
      <w:tr w:rsidR="005743E2" w:rsidRPr="005743E2" w:rsidTr="009F56FE">
        <w:trPr>
          <w:trHeight w:val="30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9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1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64"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264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666699"/>
              <w:left w:val="single" w:sz="4" w:space="0" w:color="666699"/>
              <w:bottom w:val="single" w:sz="4" w:space="0" w:color="969696"/>
              <w:right w:val="single" w:sz="4" w:space="0" w:color="666699"/>
            </w:tcBorders>
            <w:shd w:val="clear" w:color="FFFFFF" w:fill="0066CC"/>
            <w:noWrap/>
            <w:vAlign w:val="center"/>
            <w:hideMark/>
          </w:tcPr>
          <w:p w:rsidR="005743E2" w:rsidRPr="005743E2" w:rsidRDefault="005743E2" w:rsidP="005743E2">
            <w:pPr>
              <w:spacing w:line="240" w:lineRule="auto"/>
              <w:jc w:val="left"/>
              <w:rPr>
                <w:rFonts w:ascii="Arial" w:hAnsi="Arial" w:cs="Arial"/>
                <w:b/>
                <w:bCs/>
                <w:color w:val="FFFFFF"/>
                <w:sz w:val="18"/>
                <w:szCs w:val="18"/>
              </w:rPr>
            </w:pPr>
            <w:r w:rsidRPr="005743E2">
              <w:rPr>
                <w:rFonts w:ascii="Arial" w:hAnsi="Arial" w:cs="Arial"/>
                <w:b/>
                <w:bCs/>
                <w:color w:val="FFFFFF"/>
                <w:sz w:val="18"/>
                <w:szCs w:val="18"/>
              </w:rPr>
              <w:t>Total</w:t>
            </w:r>
          </w:p>
        </w:tc>
        <w:tc>
          <w:tcPr>
            <w:tcW w:w="99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Amiante lié à des matériaux inertes</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proofErr w:type="spellStart"/>
            <w:r w:rsidRPr="005743E2">
              <w:rPr>
                <w:rFonts w:ascii="Arial" w:hAnsi="Arial" w:cs="Arial"/>
                <w:b/>
                <w:bCs/>
                <w:color w:val="FFFFFF"/>
                <w:sz w:val="18"/>
                <w:szCs w:val="18"/>
              </w:rPr>
              <w:t>Amiante_lié</w:t>
            </w:r>
            <w:proofErr w:type="spellEnd"/>
            <w:r w:rsidRPr="005743E2">
              <w:rPr>
                <w:rFonts w:ascii="Arial" w:hAnsi="Arial" w:cs="Arial"/>
                <w:b/>
                <w:bCs/>
                <w:color w:val="FFFFFF"/>
                <w:sz w:val="18"/>
                <w:szCs w:val="18"/>
              </w:rPr>
              <w:t xml:space="preserve"> _autre</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Amiante friable</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Mélanges bitumineux contenant du goudron</w:t>
            </w:r>
          </w:p>
        </w:tc>
        <w:tc>
          <w:tcPr>
            <w:tcW w:w="121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Complexe d'étanchéité contenant du goudron</w:t>
            </w:r>
          </w:p>
        </w:tc>
        <w:tc>
          <w:tcPr>
            <w:tcW w:w="12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Peintures contenant des substances dangereuses</w:t>
            </w:r>
          </w:p>
        </w:tc>
        <w:tc>
          <w:tcPr>
            <w:tcW w:w="864"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Bois traités contenant des substances dangereuses</w:t>
            </w:r>
          </w:p>
        </w:tc>
        <w:tc>
          <w:tcPr>
            <w:tcW w:w="8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Equipements de chauffage, de climatisation ou frigorifiques contenant des fluides frigorigènes dangereux</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Sources lumineuses (tubes fluorescents, néons, lampes à décharges, lampes à LED)</w:t>
            </w:r>
          </w:p>
        </w:tc>
        <w:tc>
          <w:tcPr>
            <w:tcW w:w="979"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Autres DEEE contenant des substances dangereuses</w:t>
            </w:r>
          </w:p>
        </w:tc>
        <w:tc>
          <w:tcPr>
            <w:tcW w:w="1006"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Terres contenant des substances dangereuses</w:t>
            </w:r>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proofErr w:type="spellStart"/>
            <w:r w:rsidRPr="005743E2">
              <w:rPr>
                <w:rFonts w:ascii="Arial" w:hAnsi="Arial" w:cs="Arial"/>
                <w:b/>
                <w:bCs/>
                <w:color w:val="FFFFFF"/>
                <w:sz w:val="18"/>
                <w:szCs w:val="18"/>
              </w:rPr>
              <w:t>DD_autres</w:t>
            </w:r>
            <w:proofErr w:type="spellEnd"/>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2E36BF" w:rsidRPr="005743E2" w:rsidTr="009F56FE">
        <w:trPr>
          <w:gridAfter w:val="1"/>
          <w:wAfter w:w="349" w:type="dxa"/>
          <w:trHeight w:val="900"/>
        </w:trPr>
        <w:tc>
          <w:tcPr>
            <w:tcW w:w="2977" w:type="dxa"/>
            <w:tcBorders>
              <w:top w:val="nil"/>
              <w:left w:val="nil"/>
              <w:bottom w:val="nil"/>
              <w:right w:val="single" w:sz="4" w:space="0" w:color="969696"/>
            </w:tcBorders>
            <w:shd w:val="clear" w:color="auto" w:fill="auto"/>
            <w:vAlign w:val="center"/>
            <w:hideMark/>
          </w:tcPr>
          <w:p w:rsidR="002E36BF" w:rsidRPr="005743E2" w:rsidRDefault="002E36BF" w:rsidP="005743E2">
            <w:pPr>
              <w:spacing w:line="240" w:lineRule="auto"/>
              <w:jc w:val="left"/>
              <w:rPr>
                <w:rFonts w:ascii="Calibri" w:hAnsi="Calibri"/>
                <w:color w:val="000000"/>
                <w:sz w:val="22"/>
                <w:szCs w:val="22"/>
              </w:rPr>
            </w:pPr>
            <w:r w:rsidRPr="005743E2">
              <w:rPr>
                <w:rFonts w:ascii="Calibri" w:hAnsi="Calibri"/>
                <w:color w:val="000000"/>
                <w:sz w:val="22"/>
                <w:szCs w:val="22"/>
              </w:rPr>
              <w:t>Matériaux et déchets dangereux</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11167</w:t>
            </w:r>
          </w:p>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3177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341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688</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366</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6,5</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6,6</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251</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22</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46</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4062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2194</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r>
      <w:tr w:rsidR="002E36BF" w:rsidRPr="005743E2" w:rsidTr="009F56FE">
        <w:trPr>
          <w:gridAfter w:val="1"/>
          <w:wAfter w:w="349" w:type="dxa"/>
          <w:trHeight w:val="300"/>
        </w:trPr>
        <w:tc>
          <w:tcPr>
            <w:tcW w:w="2977" w:type="dxa"/>
            <w:tcBorders>
              <w:top w:val="nil"/>
              <w:left w:val="nil"/>
              <w:bottom w:val="nil"/>
              <w:right w:val="single" w:sz="4" w:space="0" w:color="969696"/>
            </w:tcBorders>
            <w:shd w:val="clear" w:color="auto" w:fill="auto"/>
            <w:noWrap/>
            <w:vAlign w:val="center"/>
            <w:hideMark/>
          </w:tcPr>
          <w:p w:rsidR="002E36BF" w:rsidRPr="005743E2" w:rsidRDefault="009F56FE" w:rsidP="005743E2">
            <w:pPr>
              <w:spacing w:line="240" w:lineRule="auto"/>
              <w:jc w:val="right"/>
              <w:rPr>
                <w:rFonts w:ascii="Calibri" w:hAnsi="Calibri"/>
                <w:i/>
                <w:iCs/>
                <w:color w:val="000000"/>
                <w:sz w:val="22"/>
                <w:szCs w:val="22"/>
              </w:rPr>
            </w:pPr>
            <w:r>
              <w:rPr>
                <w:rFonts w:ascii="Calibri" w:hAnsi="Calibri"/>
                <w:i/>
                <w:iCs/>
                <w:color w:val="000000"/>
                <w:sz w:val="22"/>
                <w:szCs w:val="22"/>
              </w:rPr>
              <w:t>Répartition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28%</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0,2%</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0,4%</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36%</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20%</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r>
      <w:tr w:rsidR="002E36BF" w:rsidRPr="005743E2" w:rsidTr="009F56FE">
        <w:trPr>
          <w:gridAfter w:val="1"/>
          <w:wAfter w:w="349" w:type="dxa"/>
          <w:trHeight w:val="300"/>
        </w:trPr>
        <w:tc>
          <w:tcPr>
            <w:tcW w:w="2977" w:type="dxa"/>
            <w:tcBorders>
              <w:top w:val="nil"/>
              <w:left w:val="nil"/>
              <w:bottom w:val="nil"/>
              <w:right w:val="single" w:sz="4" w:space="0" w:color="969696"/>
            </w:tcBorders>
            <w:shd w:val="clear" w:color="auto" w:fill="auto"/>
            <w:noWrap/>
            <w:vAlign w:val="center"/>
            <w:hideMark/>
          </w:tcPr>
          <w:p w:rsidR="002E36BF" w:rsidRPr="005743E2" w:rsidRDefault="002E36BF" w:rsidP="005743E2">
            <w:pPr>
              <w:spacing w:line="240" w:lineRule="auto"/>
              <w:jc w:val="right"/>
              <w:rPr>
                <w:rFonts w:ascii="Calibri" w:hAnsi="Calibri"/>
                <w:i/>
                <w:iCs/>
                <w:color w:val="000000"/>
                <w:sz w:val="22"/>
                <w:szCs w:val="22"/>
              </w:rPr>
            </w:pPr>
            <w:proofErr w:type="gramStart"/>
            <w:r w:rsidRPr="005743E2">
              <w:rPr>
                <w:rFonts w:ascii="Calibri" w:hAnsi="Calibri"/>
                <w:i/>
                <w:iCs/>
                <w:color w:val="000000"/>
                <w:sz w:val="22"/>
                <w:szCs w:val="22"/>
              </w:rPr>
              <w:t>quantité</w:t>
            </w:r>
            <w:proofErr w:type="gramEnd"/>
            <w:r w:rsidRPr="005743E2">
              <w:rPr>
                <w:rFonts w:ascii="Calibri" w:hAnsi="Calibri"/>
                <w:i/>
                <w:iCs/>
                <w:color w:val="000000"/>
                <w:sz w:val="22"/>
                <w:szCs w:val="22"/>
              </w:rPr>
              <w:t xml:space="preserve"> moyenne par opération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25</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5</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17</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r>
      <w:tr w:rsidR="002E36BF" w:rsidRPr="005743E2" w:rsidTr="009F56FE">
        <w:trPr>
          <w:gridAfter w:val="1"/>
          <w:wAfter w:w="349" w:type="dxa"/>
          <w:trHeight w:val="300"/>
        </w:trPr>
        <w:tc>
          <w:tcPr>
            <w:tcW w:w="2977" w:type="dxa"/>
            <w:tcBorders>
              <w:top w:val="nil"/>
              <w:left w:val="nil"/>
              <w:bottom w:val="nil"/>
              <w:right w:val="single" w:sz="4" w:space="0" w:color="969696"/>
            </w:tcBorders>
            <w:shd w:val="clear" w:color="auto" w:fill="auto"/>
            <w:noWrap/>
            <w:vAlign w:val="center"/>
            <w:hideMark/>
          </w:tcPr>
          <w:p w:rsidR="002E36BF" w:rsidRPr="005743E2" w:rsidRDefault="002E36BF" w:rsidP="005743E2">
            <w:pPr>
              <w:spacing w:line="240" w:lineRule="auto"/>
              <w:jc w:val="right"/>
              <w:rPr>
                <w:rFonts w:ascii="Calibri" w:hAnsi="Calibri"/>
                <w:i/>
                <w:iCs/>
                <w:color w:val="000000"/>
                <w:sz w:val="22"/>
                <w:szCs w:val="22"/>
              </w:rPr>
            </w:pPr>
            <w:proofErr w:type="gramStart"/>
            <w:r w:rsidRPr="005743E2">
              <w:rPr>
                <w:rFonts w:ascii="Calibri" w:hAnsi="Calibri"/>
                <w:i/>
                <w:iCs/>
                <w:color w:val="000000"/>
                <w:sz w:val="22"/>
                <w:szCs w:val="22"/>
              </w:rPr>
              <w:t>quantité</w:t>
            </w:r>
            <w:proofErr w:type="gramEnd"/>
            <w:r w:rsidRPr="005743E2">
              <w:rPr>
                <w:rFonts w:ascii="Calibri" w:hAnsi="Calibri"/>
                <w:i/>
                <w:iCs/>
                <w:color w:val="000000"/>
                <w:sz w:val="22"/>
                <w:szCs w:val="22"/>
              </w:rPr>
              <w:t xml:space="preserve"> moyenne par opération en ayant produit</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57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12</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38</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92</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36</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3,12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1,59</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5,09</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677</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Default="002E36BF" w:rsidP="009F56FE">
            <w:r w:rsidRPr="002C780E">
              <w:t>104</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r>
    </w:tbl>
    <w:p w:rsidR="005743E2" w:rsidRDefault="005743E2" w:rsidP="008104F0"/>
    <w:sectPr w:rsidR="005743E2" w:rsidSect="005743E2">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2D5" w:rsidRDefault="009472D5" w:rsidP="00FC1EE1">
      <w:pPr>
        <w:spacing w:line="240" w:lineRule="auto"/>
      </w:pPr>
      <w:r>
        <w:separator/>
      </w:r>
    </w:p>
  </w:endnote>
  <w:endnote w:type="continuationSeparator" w:id="0">
    <w:p w:rsidR="009472D5" w:rsidRDefault="009472D5" w:rsidP="00FC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F0" w:rsidRDefault="008104F0">
    <w:pPr>
      <w:pStyle w:val="Pieddepage"/>
      <w:jc w:val="right"/>
    </w:pPr>
    <w:r>
      <w:fldChar w:fldCharType="begin"/>
    </w:r>
    <w:r>
      <w:instrText>PAGE   \* MERGEFORMAT</w:instrText>
    </w:r>
    <w:r>
      <w:fldChar w:fldCharType="separate"/>
    </w:r>
    <w:r>
      <w:rPr>
        <w:noProof/>
      </w:rPr>
      <w:t>5</w:t>
    </w:r>
    <w:r>
      <w:fldChar w:fldCharType="end"/>
    </w:r>
  </w:p>
  <w:p w:rsidR="008104F0" w:rsidRDefault="009472D5">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0" type="#_x0000_t75" alt="BUR-AD-F-P" style="position:absolute;left:0;text-align:left;margin-left:45pt;margin-top:790.25pt;width:30.6pt;height:34.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527 0 -527 21130 21600 21130 21600 0 -527 0">
          <v:imagedata r:id="rId1" o:title="BUR-AD-F-P"/>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2D5" w:rsidRDefault="009472D5" w:rsidP="00FC1EE1">
      <w:pPr>
        <w:spacing w:line="240" w:lineRule="auto"/>
      </w:pPr>
      <w:r>
        <w:separator/>
      </w:r>
    </w:p>
  </w:footnote>
  <w:footnote w:type="continuationSeparator" w:id="0">
    <w:p w:rsidR="009472D5" w:rsidRDefault="009472D5" w:rsidP="00FC1EE1">
      <w:pPr>
        <w:spacing w:line="240" w:lineRule="auto"/>
      </w:pPr>
      <w:r>
        <w:continuationSeparator/>
      </w:r>
    </w:p>
  </w:footnote>
  <w:footnote w:id="1">
    <w:p w:rsidR="00830DA6" w:rsidRDefault="00830DA6">
      <w:pPr>
        <w:pStyle w:val="Notedebasdepage"/>
      </w:pPr>
      <w:r>
        <w:rPr>
          <w:rStyle w:val="Appelnotedebasdep"/>
        </w:rPr>
        <w:footnoteRef/>
      </w:r>
      <w:r>
        <w:t xml:space="preserve"> Cf. Fiche « déchets du bâtiment » accessible à cette adresse : </w:t>
      </w:r>
      <w:hyperlink r:id="rId1" w:history="1">
        <w:r w:rsidRPr="0025460D">
          <w:rPr>
            <w:rStyle w:val="Lienhypertexte"/>
          </w:rPr>
          <w:t>https://www.ademe.fr/dechets-batiment</w:t>
        </w:r>
      </w:hyperlink>
      <w:r>
        <w:t xml:space="preserve"> </w:t>
      </w:r>
    </w:p>
  </w:footnote>
  <w:footnote w:id="2">
    <w:p w:rsidR="005D69FD" w:rsidRDefault="005D69FD" w:rsidP="00805926">
      <w:pPr>
        <w:pStyle w:val="Notedebasdepage"/>
        <w:spacing w:line="240" w:lineRule="auto"/>
      </w:pPr>
      <w:r>
        <w:rPr>
          <w:rStyle w:val="Appelnotedebasdep"/>
        </w:rPr>
        <w:footnoteRef/>
      </w:r>
      <w:r>
        <w:t xml:space="preserve"> </w:t>
      </w:r>
      <w:r w:rsidR="00805926" w:rsidRPr="00805926">
        <w:t xml:space="preserve">Gestion sélective des déchets sur les chantiers de construction. Ratios techniques et économiques - 24 fiches d'opérations </w:t>
      </w:r>
      <w:r w:rsidR="00805926">
        <w:t>– ADEME, 2001.</w:t>
      </w:r>
    </w:p>
  </w:footnote>
  <w:footnote w:id="3">
    <w:p w:rsidR="00FC1EE1" w:rsidRDefault="00FC1EE1">
      <w:pPr>
        <w:pStyle w:val="Notedebasdepage"/>
      </w:pPr>
      <w:r>
        <w:rPr>
          <w:rStyle w:val="Appelnotedebasdep"/>
        </w:rPr>
        <w:footnoteRef/>
      </w:r>
      <w:r>
        <w:t xml:space="preserve"> </w:t>
      </w:r>
      <w:r w:rsidR="0062636F" w:rsidRPr="0062636F">
        <w:t xml:space="preserve">Obligation de télédéclaration des formulaires de récolement après démolition - Rapport de mise en </w:t>
      </w:r>
      <w:r w:rsidR="0062636F">
        <w:t xml:space="preserve">œuvre </w:t>
      </w:r>
      <w:r w:rsidR="0062636F" w:rsidRPr="0062636F">
        <w:t>(édition 2016)</w:t>
      </w:r>
      <w:r w:rsidR="0062636F">
        <w:t>. ADEME</w:t>
      </w:r>
    </w:p>
  </w:footnote>
  <w:footnote w:id="4">
    <w:p w:rsidR="00FC1EE1" w:rsidRDefault="00FC1EE1">
      <w:pPr>
        <w:pStyle w:val="Notedebasdepage"/>
      </w:pPr>
      <w:r>
        <w:rPr>
          <w:rStyle w:val="Appelnotedebasdep"/>
        </w:rPr>
        <w:footnoteRef/>
      </w:r>
      <w:r>
        <w:t xml:space="preserve"> </w:t>
      </w:r>
      <w:proofErr w:type="spellStart"/>
      <w:r w:rsidRPr="0062636F">
        <w:t>R</w:t>
      </w:r>
      <w:r w:rsidR="0062636F" w:rsidRPr="0062636F">
        <w:t>écylum</w:t>
      </w:r>
      <w:proofErr w:type="spellEnd"/>
      <w:r w:rsidR="0062636F" w:rsidRPr="0062636F">
        <w:t xml:space="preserve">, GTM Bâtiment, </w:t>
      </w:r>
      <w:proofErr w:type="spellStart"/>
      <w:r w:rsidR="0062636F" w:rsidRPr="0062636F">
        <w:t>Nantet</w:t>
      </w:r>
      <w:proofErr w:type="spellEnd"/>
      <w:r w:rsidR="0062636F" w:rsidRPr="0062636F">
        <w:t xml:space="preserve"> et Arès Associations – 2016 – DEMOCLES – LES CLES DE LA DEMOLITION DURABLE – Rapport d’étude – 126 pages</w:t>
      </w:r>
      <w:r w:rsidR="0062636F">
        <w:t xml:space="preserve">. </w:t>
      </w:r>
      <w:hyperlink r:id="rId2" w:history="1">
        <w:r w:rsidR="0062636F" w:rsidRPr="0062636F">
          <w:rPr>
            <w:rStyle w:val="Lienhypertexte"/>
            <w:rFonts w:ascii="Calibri" w:hAnsi="Calibri" w:cs="Calibri"/>
            <w:sz w:val="18"/>
            <w:szCs w:val="22"/>
          </w:rPr>
          <w:t>www.ademe.fr/democles-cles-demolition-durable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F0" w:rsidRDefault="009472D5" w:rsidP="008104F0">
    <w:pPr>
      <w:pStyle w:val="En-tte"/>
      <w:tabs>
        <w:tab w:val="left" w:pos="1260"/>
      </w:tabs>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49" type="#_x0000_t75" alt="logo3" style="position:absolute;left:0;text-align:left;margin-left:-9pt;margin-top:-17.7pt;width:57pt;height:46.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5063 0 -284 3484 -284 21252 18189 21252 18758 21252 19611 18116 19326 11148 21600 6271 21600 0 15063 0">
          <v:imagedata r:id="rId1" o:title="logo3"/>
          <w10:wrap type="tight"/>
        </v:shape>
      </w:pict>
    </w:r>
    <w:r w:rsidR="008104F0">
      <w:tab/>
    </w:r>
  </w:p>
  <w:p w:rsidR="008104F0" w:rsidRPr="008151EB" w:rsidRDefault="008104F0" w:rsidP="008104F0">
    <w:pPr>
      <w:pStyle w:val="En-tte"/>
      <w:tabs>
        <w:tab w:val="left" w:pos="900"/>
      </w:tabs>
      <w:rPr>
        <w:rFonts w:cs="Arial"/>
        <w:b/>
        <w:color w:val="00A6C9"/>
        <w:szCs w:val="20"/>
      </w:rPr>
    </w:pPr>
    <w:r>
      <w:tab/>
    </w:r>
    <w:r>
      <w:rPr>
        <w:rFonts w:cs="Arial"/>
        <w:b/>
        <w:color w:val="00A6C9"/>
        <w:szCs w:val="20"/>
      </w:rPr>
      <w:t>Estimation de la production de déchets de bâtiment</w:t>
    </w:r>
  </w:p>
  <w:p w:rsidR="008104F0" w:rsidRPr="00AD5298" w:rsidRDefault="008104F0" w:rsidP="008104F0">
    <w:pPr>
      <w:pStyle w:val="En-tte"/>
      <w:tabs>
        <w:tab w:val="clear" w:pos="9072"/>
        <w:tab w:val="left" w:pos="900"/>
        <w:tab w:val="right" w:pos="22397"/>
      </w:tabs>
      <w:rPr>
        <w:color w:val="808080"/>
        <w:sz w:val="22"/>
      </w:rPr>
    </w:pPr>
    <w:r w:rsidRPr="00AD5298">
      <w:rPr>
        <w:color w:val="808080"/>
      </w:rPr>
      <w:tab/>
    </w:r>
    <w:r w:rsidRPr="00AD5298">
      <w:rPr>
        <w:color w:val="808080"/>
        <w:sz w:val="22"/>
      </w:rPr>
      <w:t>www.optigede.ademe.fr</w:t>
    </w:r>
  </w:p>
  <w:p w:rsidR="008104F0" w:rsidRDefault="00810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F9F"/>
    <w:multiLevelType w:val="hybridMultilevel"/>
    <w:tmpl w:val="496C2232"/>
    <w:lvl w:ilvl="0" w:tplc="47C25DEA">
      <w:start w:val="2"/>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920D0"/>
    <w:multiLevelType w:val="hybridMultilevel"/>
    <w:tmpl w:val="17600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136869"/>
    <w:multiLevelType w:val="multilevel"/>
    <w:tmpl w:val="A4167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76D639D9"/>
    <w:multiLevelType w:val="hybridMultilevel"/>
    <w:tmpl w:val="CE9AA210"/>
    <w:lvl w:ilvl="0" w:tplc="47C25DEA">
      <w:start w:val="2"/>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D87AA1"/>
    <w:multiLevelType w:val="hybridMultilevel"/>
    <w:tmpl w:val="8C4E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F52678"/>
    <w:multiLevelType w:val="hybridMultilevel"/>
    <w:tmpl w:val="E10C0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FFE"/>
    <w:rsid w:val="000A7B02"/>
    <w:rsid w:val="00177219"/>
    <w:rsid w:val="00236CF2"/>
    <w:rsid w:val="002E36BF"/>
    <w:rsid w:val="00342034"/>
    <w:rsid w:val="003B79B9"/>
    <w:rsid w:val="003D4F4A"/>
    <w:rsid w:val="00406D41"/>
    <w:rsid w:val="00427E06"/>
    <w:rsid w:val="005743E2"/>
    <w:rsid w:val="005D69FD"/>
    <w:rsid w:val="0062636F"/>
    <w:rsid w:val="0064060E"/>
    <w:rsid w:val="007D58E2"/>
    <w:rsid w:val="00805926"/>
    <w:rsid w:val="008104F0"/>
    <w:rsid w:val="00830DA6"/>
    <w:rsid w:val="00903DDF"/>
    <w:rsid w:val="009472D5"/>
    <w:rsid w:val="009544C2"/>
    <w:rsid w:val="009E27CE"/>
    <w:rsid w:val="009F56FE"/>
    <w:rsid w:val="009F6CB2"/>
    <w:rsid w:val="00AD42E6"/>
    <w:rsid w:val="00AD49F1"/>
    <w:rsid w:val="00BA7147"/>
    <w:rsid w:val="00D23CD9"/>
    <w:rsid w:val="00D43FFE"/>
    <w:rsid w:val="00FC1EE1"/>
    <w:rsid w:val="00FC4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E2094DB-1F86-4622-8EFF-C2594CE7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LC"/>
    <w:qFormat/>
    <w:rsid w:val="00903DDF"/>
    <w:pPr>
      <w:spacing w:line="280" w:lineRule="exact"/>
      <w:jc w:val="both"/>
    </w:pPr>
    <w:rPr>
      <w:rFonts w:ascii="Garamond" w:hAnsi="Garamond"/>
      <w:sz w:val="24"/>
      <w:szCs w:val="24"/>
    </w:rPr>
  </w:style>
  <w:style w:type="paragraph" w:styleId="Titre1">
    <w:name w:val="heading 1"/>
    <w:basedOn w:val="Normal"/>
    <w:next w:val="Normal"/>
    <w:link w:val="Titre1Car"/>
    <w:uiPriority w:val="9"/>
    <w:qFormat/>
    <w:rsid w:val="00177219"/>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
    <w:name w:val="Car Car"/>
    <w:basedOn w:val="Normal"/>
    <w:autoRedefine/>
    <w:rsid w:val="00903DDF"/>
    <w:pPr>
      <w:widowControl w:val="0"/>
      <w:adjustRightInd w:val="0"/>
      <w:spacing w:line="20" w:lineRule="exact"/>
      <w:jc w:val="left"/>
      <w:textAlignment w:val="baseline"/>
    </w:pPr>
    <w:rPr>
      <w:rFonts w:ascii="Bookman Old Style" w:hAnsi="Bookman Old Style"/>
      <w:lang w:val="en-US" w:eastAsia="en-US"/>
    </w:rPr>
  </w:style>
  <w:style w:type="character" w:styleId="Marquedecommentaire">
    <w:name w:val="annotation reference"/>
    <w:uiPriority w:val="99"/>
    <w:semiHidden/>
    <w:unhideWhenUsed/>
    <w:rsid w:val="00FC1EE1"/>
    <w:rPr>
      <w:sz w:val="16"/>
      <w:szCs w:val="16"/>
    </w:rPr>
  </w:style>
  <w:style w:type="paragraph" w:styleId="Commentaire">
    <w:name w:val="annotation text"/>
    <w:basedOn w:val="Normal"/>
    <w:link w:val="CommentaireCar"/>
    <w:uiPriority w:val="99"/>
    <w:semiHidden/>
    <w:unhideWhenUsed/>
    <w:rsid w:val="00FC1EE1"/>
    <w:rPr>
      <w:sz w:val="20"/>
      <w:szCs w:val="20"/>
    </w:rPr>
  </w:style>
  <w:style w:type="character" w:customStyle="1" w:styleId="CommentaireCar">
    <w:name w:val="Commentaire Car"/>
    <w:link w:val="Commentaire"/>
    <w:uiPriority w:val="99"/>
    <w:semiHidden/>
    <w:rsid w:val="00FC1EE1"/>
    <w:rPr>
      <w:rFonts w:ascii="Garamond" w:hAnsi="Garamond"/>
    </w:rPr>
  </w:style>
  <w:style w:type="paragraph" w:styleId="Objetducommentaire">
    <w:name w:val="annotation subject"/>
    <w:basedOn w:val="Commentaire"/>
    <w:next w:val="Commentaire"/>
    <w:link w:val="ObjetducommentaireCar"/>
    <w:uiPriority w:val="99"/>
    <w:semiHidden/>
    <w:unhideWhenUsed/>
    <w:rsid w:val="00FC1EE1"/>
    <w:rPr>
      <w:b/>
      <w:bCs/>
    </w:rPr>
  </w:style>
  <w:style w:type="character" w:customStyle="1" w:styleId="ObjetducommentaireCar">
    <w:name w:val="Objet du commentaire Car"/>
    <w:link w:val="Objetducommentaire"/>
    <w:uiPriority w:val="99"/>
    <w:semiHidden/>
    <w:rsid w:val="00FC1EE1"/>
    <w:rPr>
      <w:rFonts w:ascii="Garamond" w:hAnsi="Garamond"/>
      <w:b/>
      <w:bCs/>
    </w:rPr>
  </w:style>
  <w:style w:type="paragraph" w:styleId="Textedebulles">
    <w:name w:val="Balloon Text"/>
    <w:basedOn w:val="Normal"/>
    <w:link w:val="TextedebullesCar"/>
    <w:uiPriority w:val="99"/>
    <w:semiHidden/>
    <w:unhideWhenUsed/>
    <w:rsid w:val="00FC1EE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C1EE1"/>
    <w:rPr>
      <w:rFonts w:ascii="Tahoma" w:hAnsi="Tahoma" w:cs="Tahoma"/>
      <w:sz w:val="16"/>
      <w:szCs w:val="16"/>
    </w:rPr>
  </w:style>
  <w:style w:type="paragraph" w:styleId="Notedebasdepage">
    <w:name w:val="footnote text"/>
    <w:basedOn w:val="Normal"/>
    <w:link w:val="NotedebasdepageCar"/>
    <w:uiPriority w:val="99"/>
    <w:semiHidden/>
    <w:unhideWhenUsed/>
    <w:rsid w:val="00FC1EE1"/>
    <w:rPr>
      <w:sz w:val="20"/>
      <w:szCs w:val="20"/>
    </w:rPr>
  </w:style>
  <w:style w:type="character" w:customStyle="1" w:styleId="NotedebasdepageCar">
    <w:name w:val="Note de bas de page Car"/>
    <w:link w:val="Notedebasdepage"/>
    <w:uiPriority w:val="99"/>
    <w:semiHidden/>
    <w:rsid w:val="00FC1EE1"/>
    <w:rPr>
      <w:rFonts w:ascii="Garamond" w:hAnsi="Garamond"/>
    </w:rPr>
  </w:style>
  <w:style w:type="character" w:styleId="Appelnotedebasdep">
    <w:name w:val="footnote reference"/>
    <w:uiPriority w:val="99"/>
    <w:semiHidden/>
    <w:unhideWhenUsed/>
    <w:rsid w:val="00FC1EE1"/>
    <w:rPr>
      <w:vertAlign w:val="superscript"/>
    </w:rPr>
  </w:style>
  <w:style w:type="paragraph" w:styleId="Lgende">
    <w:name w:val="caption"/>
    <w:basedOn w:val="Normal"/>
    <w:next w:val="Normal"/>
    <w:uiPriority w:val="99"/>
    <w:qFormat/>
    <w:rsid w:val="00FC1EE1"/>
    <w:pPr>
      <w:spacing w:after="200" w:line="240" w:lineRule="auto"/>
      <w:jc w:val="left"/>
    </w:pPr>
    <w:rPr>
      <w:rFonts w:ascii="Calibri" w:eastAsia="MS Mincho" w:hAnsi="Calibri"/>
      <w:b/>
      <w:bCs/>
      <w:color w:val="4F81BD"/>
      <w:sz w:val="18"/>
      <w:szCs w:val="18"/>
      <w:lang w:eastAsia="en-US"/>
    </w:rPr>
  </w:style>
  <w:style w:type="paragraph" w:styleId="Paragraphedeliste">
    <w:name w:val="List Paragraph"/>
    <w:basedOn w:val="Normal"/>
    <w:uiPriority w:val="99"/>
    <w:qFormat/>
    <w:rsid w:val="005743E2"/>
    <w:pPr>
      <w:spacing w:line="240" w:lineRule="auto"/>
      <w:ind w:left="720"/>
      <w:contextualSpacing/>
      <w:jc w:val="left"/>
    </w:pPr>
    <w:rPr>
      <w:rFonts w:ascii="Calibri" w:eastAsia="MS Mincho" w:hAnsi="Calibri"/>
      <w:sz w:val="22"/>
      <w:szCs w:val="22"/>
      <w:lang w:eastAsia="en-US"/>
    </w:rPr>
  </w:style>
  <w:style w:type="character" w:customStyle="1" w:styleId="Titre1Car">
    <w:name w:val="Titre 1 Car"/>
    <w:link w:val="Titre1"/>
    <w:uiPriority w:val="9"/>
    <w:rsid w:val="00177219"/>
    <w:rPr>
      <w:rFonts w:ascii="Cambria" w:eastAsia="Times New Roman" w:hAnsi="Cambria" w:cs="Times New Roman"/>
      <w:b/>
      <w:bCs/>
      <w:kern w:val="32"/>
      <w:sz w:val="32"/>
      <w:szCs w:val="32"/>
    </w:rPr>
  </w:style>
  <w:style w:type="character" w:styleId="Lienhypertexte">
    <w:name w:val="Hyperlink"/>
    <w:uiPriority w:val="99"/>
    <w:unhideWhenUsed/>
    <w:rsid w:val="00830DA6"/>
    <w:rPr>
      <w:color w:val="0000FF"/>
      <w:u w:val="single"/>
    </w:rPr>
  </w:style>
  <w:style w:type="paragraph" w:styleId="Titre">
    <w:name w:val="Title"/>
    <w:basedOn w:val="Normal"/>
    <w:next w:val="Normal"/>
    <w:link w:val="TitreCar"/>
    <w:uiPriority w:val="10"/>
    <w:qFormat/>
    <w:rsid w:val="00830DA6"/>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830DA6"/>
    <w:rPr>
      <w:rFonts w:ascii="Cambria" w:eastAsia="Times New Roman" w:hAnsi="Cambria" w:cs="Times New Roman"/>
      <w:b/>
      <w:bCs/>
      <w:kern w:val="28"/>
      <w:sz w:val="32"/>
      <w:szCs w:val="32"/>
    </w:rPr>
  </w:style>
  <w:style w:type="paragraph" w:styleId="En-tte">
    <w:name w:val="header"/>
    <w:basedOn w:val="Normal"/>
    <w:link w:val="En-tteCar"/>
    <w:unhideWhenUsed/>
    <w:rsid w:val="008104F0"/>
    <w:pPr>
      <w:tabs>
        <w:tab w:val="center" w:pos="4536"/>
        <w:tab w:val="right" w:pos="9072"/>
      </w:tabs>
    </w:pPr>
  </w:style>
  <w:style w:type="character" w:customStyle="1" w:styleId="En-tteCar">
    <w:name w:val="En-tête Car"/>
    <w:link w:val="En-tte"/>
    <w:uiPriority w:val="99"/>
    <w:rsid w:val="008104F0"/>
    <w:rPr>
      <w:rFonts w:ascii="Garamond" w:hAnsi="Garamond"/>
      <w:sz w:val="24"/>
      <w:szCs w:val="24"/>
    </w:rPr>
  </w:style>
  <w:style w:type="paragraph" w:styleId="Pieddepage">
    <w:name w:val="footer"/>
    <w:basedOn w:val="Normal"/>
    <w:link w:val="PieddepageCar"/>
    <w:uiPriority w:val="99"/>
    <w:unhideWhenUsed/>
    <w:rsid w:val="008104F0"/>
    <w:pPr>
      <w:tabs>
        <w:tab w:val="center" w:pos="4536"/>
        <w:tab w:val="right" w:pos="9072"/>
      </w:tabs>
    </w:pPr>
  </w:style>
  <w:style w:type="character" w:customStyle="1" w:styleId="PieddepageCar">
    <w:name w:val="Pied de page Car"/>
    <w:link w:val="Pieddepage"/>
    <w:uiPriority w:val="99"/>
    <w:rsid w:val="008104F0"/>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ademe.fr/democles-cles-demolition-durable" TargetMode="External"/><Relationship Id="rId1" Type="http://schemas.openxmlformats.org/officeDocument/2006/relationships/hyperlink" Target="https://www.ademe.fr/dechets-bati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A6E9-576A-447F-B500-B2BCD013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Quelques ratios de production de déchets de chantier</vt:lpstr>
    </vt:vector>
  </TitlesOfParts>
  <Company>Agence de l'environnement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ratios de production de déchets de chantier</dc:title>
  <dc:creator>Laurent Chateau</dc:creator>
  <cp:lastModifiedBy>Alexia Schlumberger</cp:lastModifiedBy>
  <cp:revision>2</cp:revision>
  <dcterms:created xsi:type="dcterms:W3CDTF">2018-11-07T14:28:00Z</dcterms:created>
  <dcterms:modified xsi:type="dcterms:W3CDTF">2018-11-07T14:28:00Z</dcterms:modified>
</cp:coreProperties>
</file>